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73F4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>
        <w:rPr>
          <w:rFonts w:ascii="Avenir" w:hAnsi="Avenir"/>
          <w:b/>
          <w:bCs/>
          <w:color w:val="000000" w:themeColor="text1"/>
          <w:sz w:val="26"/>
          <w:szCs w:val="26"/>
        </w:rPr>
        <w:t>Intensive English Language Programs (</w:t>
      </w:r>
      <w:r w:rsidRPr="008B2E1C">
        <w:rPr>
          <w:rFonts w:ascii="Avenir" w:hAnsi="Avenir"/>
          <w:b/>
          <w:bCs/>
          <w:color w:val="000000" w:themeColor="text1"/>
          <w:sz w:val="26"/>
          <w:szCs w:val="26"/>
        </w:rPr>
        <w:t>IELP</w:t>
      </w:r>
      <w:r>
        <w:rPr>
          <w:rFonts w:ascii="Avenir" w:hAnsi="Avenir"/>
          <w:b/>
          <w:bCs/>
          <w:color w:val="000000" w:themeColor="text1"/>
          <w:sz w:val="26"/>
          <w:szCs w:val="26"/>
        </w:rPr>
        <w:t>)</w:t>
      </w:r>
    </w:p>
    <w:p w14:paraId="05B41C47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>
        <w:rPr>
          <w:rFonts w:ascii="Avenir" w:hAnsi="Avenir"/>
          <w:b/>
          <w:bCs/>
          <w:color w:val="000000" w:themeColor="text1"/>
          <w:sz w:val="26"/>
          <w:szCs w:val="26"/>
        </w:rPr>
        <w:t>University of Findlay</w:t>
      </w:r>
    </w:p>
    <w:p w14:paraId="69AD91F4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  <w:r w:rsidRPr="008B2E1C">
        <w:rPr>
          <w:rFonts w:ascii="Avenir" w:hAnsi="Avenir"/>
          <w:b/>
          <w:bCs/>
          <w:color w:val="000000" w:themeColor="text1"/>
          <w:sz w:val="26"/>
          <w:szCs w:val="26"/>
        </w:rPr>
        <w:t xml:space="preserve"> Plans of Study</w:t>
      </w:r>
      <w:r>
        <w:rPr>
          <w:rFonts w:ascii="Avenir" w:hAnsi="Avenir"/>
          <w:b/>
          <w:bCs/>
          <w:color w:val="000000" w:themeColor="text1"/>
          <w:sz w:val="26"/>
          <w:szCs w:val="26"/>
        </w:rPr>
        <w:t>: Japanese</w:t>
      </w:r>
    </w:p>
    <w:p w14:paraId="42C52664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rFonts w:ascii="Avenir" w:hAnsi="Avenir"/>
          <w:b/>
          <w:bCs/>
          <w:color w:val="000000" w:themeColor="text1"/>
          <w:sz w:val="26"/>
          <w:szCs w:val="26"/>
        </w:rPr>
      </w:pPr>
    </w:p>
    <w:p w14:paraId="205EA19F" w14:textId="1414BC15" w:rsidR="004D0B8B" w:rsidRDefault="004D0B8B" w:rsidP="004D0B8B">
      <w:pPr>
        <w:pStyle w:val="HTMLPreformatted"/>
        <w:shd w:val="clear" w:color="auto" w:fill="F8F9FA"/>
        <w:rPr>
          <w:rStyle w:val="y2iqfc"/>
          <w:rFonts w:ascii="MS Gothic" w:eastAsia="MS Gothic" w:hAnsi="MS Gothic" w:cs="MS Gothic"/>
          <w:color w:val="1F1F1F"/>
          <w:sz w:val="24"/>
          <w:szCs w:val="24"/>
          <w:lang w:eastAsia="ja-JP"/>
        </w:rPr>
      </w:pP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IELP </w:t>
      </w:r>
      <w:r w:rsidR="0005470D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に</w:t>
      </w:r>
      <w:r w:rsidRPr="00622255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は、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つの異なる</w:t>
      </w:r>
      <w:r w:rsidR="00F86115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プログラム</w:t>
      </w:r>
      <w:r w:rsidR="009822A5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があります</w:t>
      </w:r>
      <w:r w:rsidRPr="00622255">
        <w:rPr>
          <w:rStyle w:val="y2iqfc"/>
          <w:rFonts w:ascii="MS Gothic" w:eastAsia="MS Gothic" w:hAnsi="MS Gothic" w:cs="MS Gothic" w:hint="eastAsia"/>
          <w:color w:val="1F1F1F"/>
          <w:sz w:val="24"/>
          <w:szCs w:val="24"/>
          <w:lang w:eastAsia="ja-JP"/>
        </w:rPr>
        <w:t>。</w:t>
      </w:r>
    </w:p>
    <w:p w14:paraId="696B1BB0" w14:textId="77777777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4D12215A" w14:textId="6CB3A663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集中英語プログラム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 xml:space="preserve"> (IELTS </w:t>
      </w:r>
      <w:r w:rsidR="007305A7">
        <w:rPr>
          <w:rStyle w:val="y2iqfc"/>
          <w:rFonts w:ascii="inherit" w:eastAsiaTheme="majorEastAsia" w:hAnsi="inherit"/>
          <w:color w:val="1F1F1F"/>
          <w:sz w:val="24"/>
          <w:szCs w:val="24"/>
          <w:u w:val="single"/>
          <w:lang w:eastAsia="ja-JP"/>
        </w:rPr>
        <w:t>1.0~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>5.5)</w:t>
      </w:r>
    </w:p>
    <w:p w14:paraId="4B96618C" w14:textId="77777777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63290841" w14:textId="1841883D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集中英語プログラムには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4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つのレベルがあります。レベル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1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と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2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は対人コミュニケーションに重点を置き、キャンパス内やコミュニティ内での一般的な会話</w:t>
      </w:r>
      <w:r w:rsidR="009B48FC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に対応できることに集中します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。レベル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と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4</w:t>
      </w:r>
      <w:r w:rsidR="00E233EC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は大学での学習（学部、大学院）に必要な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言語スキル</w:t>
      </w:r>
      <w:r w:rsidR="00E233EC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の習得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に重点を置いています。各レベルは週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18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時間で、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16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週間で修了できます。</w:t>
      </w:r>
    </w:p>
    <w:p w14:paraId="382EA1FF" w14:textId="77777777" w:rsidR="004D0B8B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70097B31" w14:textId="7F8028CE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ライティングと文法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4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36C7F28C" w14:textId="2A6B1E64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スピーキングとリスニング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4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2FB0C658" w14:textId="0DD6D722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リーディングと語彙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(4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2BB5DD82" w14:textId="5E9D1D8A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08422A"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アカデミック</w:t>
      </w:r>
      <w:r w:rsidR="0008422A"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08422A"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リテラシー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（</w:t>
      </w:r>
      <w:r w:rsidR="00904A2C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大学での学習に必要な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知識とスキル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）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7AFF9F43" w14:textId="5BB7195C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キャンパスとコミュニティ</w:t>
      </w:r>
      <w:r w:rsidR="00AE62D9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での</w:t>
      </w:r>
      <w:r w:rsidR="00917E5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活動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3B8DC1C7" w14:textId="40BD4209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AE62D9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スペシャル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トピック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304542E3" w14:textId="77777777" w:rsidR="00580E01" w:rsidRDefault="00580E01" w:rsidP="004D0B8B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4"/>
          <w:szCs w:val="24"/>
          <w:u w:val="single"/>
          <w:lang w:eastAsia="ja-JP"/>
        </w:rPr>
      </w:pPr>
    </w:p>
    <w:p w14:paraId="39709D2D" w14:textId="1DB1A2FC" w:rsidR="004D0B8B" w:rsidRPr="008914A1" w:rsidRDefault="004D0B8B" w:rsidP="004D0B8B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4"/>
          <w:szCs w:val="24"/>
          <w:u w:val="single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学部</w:t>
      </w:r>
      <w:r w:rsidR="008914A1">
        <w:rPr>
          <w:rStyle w:val="y2iqfc"/>
          <w:rFonts w:ascii="MS Mincho" w:eastAsia="MS Mincho" w:hAnsi="MS Mincho" w:cs="MS Mincho"/>
          <w:color w:val="1F1F1F"/>
          <w:sz w:val="24"/>
          <w:szCs w:val="24"/>
          <w:u w:val="single"/>
          <w:lang w:eastAsia="ja-JP"/>
        </w:rPr>
        <w:t>ESL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プログラム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 xml:space="preserve"> (IELTS 6.0)</w:t>
      </w:r>
    </w:p>
    <w:p w14:paraId="304AA77B" w14:textId="77777777" w:rsidR="004D0B8B" w:rsidRDefault="004D0B8B" w:rsidP="004D0B8B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4"/>
          <w:szCs w:val="24"/>
          <w:lang w:eastAsia="ja-JP"/>
        </w:rPr>
      </w:pPr>
    </w:p>
    <w:p w14:paraId="3B07F53F" w14:textId="6FDDB9A5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学部</w:t>
      </w:r>
      <w:r w:rsidR="008914A1">
        <w:rPr>
          <w:rStyle w:val="y2iqfc"/>
          <w:rFonts w:ascii="MS Mincho" w:eastAsia="MS Mincho" w:hAnsi="MS Mincho" w:cs="MS Mincho"/>
          <w:color w:val="1F1F1F"/>
          <w:sz w:val="24"/>
          <w:szCs w:val="24"/>
          <w:lang w:eastAsia="ja-JP"/>
        </w:rPr>
        <w:t>ESL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プログラムは、留学生</w:t>
      </w:r>
      <w:r w:rsidR="0044624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が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ライティング、リーディング、文化</w:t>
      </w:r>
      <w:r w:rsidR="000A1BAF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理解</w:t>
      </w:r>
      <w:r w:rsidR="0044624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において</w:t>
      </w:r>
      <w:r w:rsidR="000A1BAF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フィンドレー大学の学部での学習に</w:t>
      </w:r>
      <w:r w:rsidR="0044624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スムーズに</w:t>
      </w:r>
      <w:r w:rsidR="006055D8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移行</w:t>
      </w:r>
      <w:r w:rsidR="0044624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する</w:t>
      </w:r>
      <w:r w:rsidR="00EB79D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ことを目的とした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プログラム</w:t>
      </w:r>
      <w:r w:rsidR="0044624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です。</w:t>
      </w:r>
      <w:r w:rsidR="000C445E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１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学期あたり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9~12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="000C445E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を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履修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します。</w:t>
      </w:r>
    </w:p>
    <w:p w14:paraId="3B584A61" w14:textId="77777777" w:rsidR="004D0B8B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452A3292" w14:textId="40D6A2B0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学部向け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ライティング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I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7EE2E1E1" w14:textId="06E2CC43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学部向け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ライティング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II 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61006295" w14:textId="575D1B79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08422A"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アカデミック</w:t>
      </w:r>
      <w:r w:rsidR="0008422A"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="0008422A"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リテラシー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（</w:t>
      </w:r>
      <w:r w:rsidR="00904A2C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大学での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学習</w:t>
      </w:r>
      <w:r w:rsidR="00904A2C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に必要な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知識とスキル</w:t>
      </w:r>
      <w:r w:rsidR="0008422A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）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(</w:t>
      </w:r>
      <w:r w:rsidR="001E3F47"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>3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単位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)</w:t>
      </w:r>
    </w:p>
    <w:p w14:paraId="66D2D2E8" w14:textId="77777777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40F1F3E2" w14:textId="77777777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大学院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 xml:space="preserve"> ESL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プログラム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 xml:space="preserve"> (IELTS 6.5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u w:val="single"/>
          <w:lang w:eastAsia="ja-JP"/>
        </w:rPr>
        <w:t>以上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u w:val="single"/>
          <w:lang w:eastAsia="ja-JP"/>
        </w:rPr>
        <w:t>)</w:t>
      </w:r>
    </w:p>
    <w:p w14:paraId="1D260AA2" w14:textId="77777777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5772A10C" w14:textId="79842C58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ESL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プログラムでは、大学院レベルの</w:t>
      </w:r>
      <w:r w:rsidR="00826C3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学びに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必要なライティング、リーディング、コミュニケーション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スキルを養成</w:t>
      </w:r>
      <w:r w:rsidR="00826C3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します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。大学院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ESL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コースの要件は、</w:t>
      </w:r>
      <w:r w:rsidR="00907B4D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みなさんが選ぶプログラム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によって異なります。大学院プログラムの言語要件を確認するには、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www.findlay.edu/IELP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にアクセスしてください。</w:t>
      </w:r>
    </w:p>
    <w:p w14:paraId="63992C0A" w14:textId="77777777" w:rsidR="004D0B8B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</w:p>
    <w:p w14:paraId="063B5DF1" w14:textId="5CC08789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大学院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向け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ライティング</w:t>
      </w:r>
    </w:p>
    <w:p w14:paraId="2E8FA604" w14:textId="31FFC24C" w:rsidR="004D0B8B" w:rsidRPr="00622255" w:rsidRDefault="004D0B8B" w:rsidP="004D0B8B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大学院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向け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リーディング</w:t>
      </w:r>
    </w:p>
    <w:p w14:paraId="6386D5E0" w14:textId="61ADEABD" w:rsidR="004D0B8B" w:rsidRPr="001E3F47" w:rsidRDefault="004D0B8B" w:rsidP="001E3F47">
      <w:pPr>
        <w:pStyle w:val="HTMLPreformatted"/>
        <w:shd w:val="clear" w:color="auto" w:fill="F8F9FA"/>
        <w:rPr>
          <w:rFonts w:ascii="inherit" w:hAnsi="inherit"/>
          <w:color w:val="1F1F1F"/>
          <w:sz w:val="24"/>
          <w:szCs w:val="24"/>
          <w:lang w:eastAsia="ja-JP"/>
        </w:rPr>
      </w:pPr>
      <w:r>
        <w:rPr>
          <w:rStyle w:val="y2iqfc"/>
          <w:rFonts w:ascii="inherit" w:eastAsiaTheme="majorEastAsia" w:hAnsi="inherit"/>
          <w:color w:val="1F1F1F"/>
          <w:sz w:val="24"/>
          <w:szCs w:val="24"/>
          <w:lang w:eastAsia="ja-JP"/>
        </w:rPr>
        <w:tab/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>•</w:t>
      </w:r>
      <w:r w:rsidRPr="00622255">
        <w:rPr>
          <w:rStyle w:val="y2iqfc"/>
          <w:rFonts w:ascii="inherit" w:eastAsiaTheme="majorEastAsia" w:hAnsi="inherit" w:hint="eastAsia"/>
          <w:color w:val="1F1F1F"/>
          <w:sz w:val="24"/>
          <w:szCs w:val="24"/>
          <w:lang w:eastAsia="ja-JP"/>
        </w:rPr>
        <w:t xml:space="preserve"> 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大学院</w:t>
      </w:r>
      <w:r w:rsidR="001E3F47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向け</w:t>
      </w:r>
      <w:r w:rsidRPr="00622255">
        <w:rPr>
          <w:rStyle w:val="y2iqfc"/>
          <w:rFonts w:ascii="MS Mincho" w:eastAsia="MS Mincho" w:hAnsi="MS Mincho" w:cs="MS Mincho" w:hint="eastAsia"/>
          <w:color w:val="1F1F1F"/>
          <w:sz w:val="24"/>
          <w:szCs w:val="24"/>
          <w:lang w:eastAsia="ja-JP"/>
        </w:rPr>
        <w:t>スピーキングとリスニング</w:t>
      </w:r>
    </w:p>
    <w:p w14:paraId="46C7D62E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eastAsia="ja-JP"/>
        </w:rPr>
      </w:pPr>
    </w:p>
    <w:p w14:paraId="22E63928" w14:textId="77777777" w:rsidR="0034168F" w:rsidRDefault="0034168F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</w:p>
    <w:p w14:paraId="228ACACF" w14:textId="77777777" w:rsidR="0034168F" w:rsidRDefault="0034168F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</w:p>
    <w:p w14:paraId="5E678422" w14:textId="752B8B45" w:rsidR="001A4800" w:rsidRPr="00AC1C4C" w:rsidRDefault="001A4800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lastRenderedPageBreak/>
        <w:t>Intensive English Language Programs (IELP)</w:t>
      </w:r>
    </w:p>
    <w:p w14:paraId="4444F5B3" w14:textId="77777777" w:rsidR="001A4800" w:rsidRPr="00AC1C4C" w:rsidRDefault="001A4800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t>University of Findlay</w:t>
      </w:r>
    </w:p>
    <w:p w14:paraId="2492BCB4" w14:textId="77777777" w:rsidR="001A4800" w:rsidRDefault="001A4800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</w:rPr>
      </w:pPr>
      <w:r w:rsidRPr="00AC1C4C">
        <w:rPr>
          <w:rFonts w:ascii="MuseoSlab" w:hAnsi="MuseoSlab"/>
          <w:b/>
          <w:bCs/>
        </w:rPr>
        <w:t>Program Overview</w:t>
      </w:r>
      <w:r>
        <w:rPr>
          <w:rFonts w:ascii="MuseoSlab" w:hAnsi="MuseoSlab"/>
          <w:b/>
          <w:bCs/>
        </w:rPr>
        <w:t>: Japanese</w:t>
      </w:r>
    </w:p>
    <w:p w14:paraId="2C5E15B7" w14:textId="77777777" w:rsidR="001A4800" w:rsidRPr="0034168F" w:rsidRDefault="001A4800" w:rsidP="001A4800">
      <w:pPr>
        <w:pStyle w:val="NormalWeb"/>
        <w:spacing w:before="0" w:beforeAutospacing="0" w:after="0" w:afterAutospacing="0"/>
        <w:jc w:val="center"/>
        <w:rPr>
          <w:rFonts w:ascii="MuseoSlab" w:hAnsi="MuseoSlab"/>
          <w:b/>
          <w:bCs/>
          <w:sz w:val="22"/>
          <w:szCs w:val="22"/>
        </w:rPr>
      </w:pPr>
    </w:p>
    <w:p w14:paraId="3073DC88" w14:textId="18FA82BA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フィンドレー大学の集中英語プログラム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(IELP) 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の</w:t>
      </w:r>
      <w:r w:rsidR="00DF734D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ミッション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は、</w:t>
      </w:r>
      <w:r w:rsidR="009446C7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最新の言語習得理論に基づ</w:t>
      </w:r>
      <w:r w:rsidR="00F0627A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き、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留学生に</w:t>
      </w:r>
      <w:r w:rsidR="00F0627A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最適な言語習得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プログラムを提供することです。</w:t>
      </w:r>
      <w:r w:rsidR="00FE2217" w:rsidRPr="0034168F">
        <w:rPr>
          <w:rStyle w:val="y2iqfc"/>
          <w:rFonts w:ascii="MS Gothic" w:eastAsia="MS Gothic" w:hAnsi="MS Gothic" w:cs="MS Gothic"/>
          <w:color w:val="1F1F1F"/>
          <w:sz w:val="22"/>
          <w:szCs w:val="22"/>
          <w:lang w:eastAsia="ja-JP"/>
        </w:rPr>
        <w:t>IELP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は、英語能力の向上、米国での生活</w:t>
      </w:r>
      <w:r w:rsidR="00FE0A7E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文化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への適応</w:t>
      </w:r>
      <w:r w:rsidR="001E3F47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への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支援</w:t>
      </w:r>
      <w:r w:rsidR="00FE0A7E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を通して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、学部および大学院レベルでの</w:t>
      </w:r>
      <w:r w:rsidR="00F43F46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学びがスムーズに進むように</w:t>
      </w:r>
      <w:r w:rsidR="00FE2217"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組まれて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lang w:eastAsia="ja-JP"/>
        </w:rPr>
        <w:t>います。</w:t>
      </w:r>
    </w:p>
    <w:p w14:paraId="67E01915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1B2F2601" w14:textId="2DFB4D8C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IELP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の必須レベルを修了した学生は、</w:t>
      </w:r>
      <w:r w:rsidR="003F43CA" w:rsidRPr="0034168F"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  <w:t>TOEFL</w:t>
      </w:r>
      <w:r w:rsidR="003F43C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</w:t>
      </w:r>
      <w:r w:rsidR="003F43CA" w:rsidRPr="0034168F"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  <w:t>IELTS</w:t>
      </w:r>
      <w:r w:rsidR="003F43C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などの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言語テストのスコアなしで</w:t>
      </w:r>
      <w:r w:rsidR="001E3F47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フィンドレー大学の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学部または修士課程に入学できます。学部課程に入学するにはレベル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="001E3F47" w:rsidRPr="0034168F">
        <w:rPr>
          <w:rStyle w:val="y2iqfc"/>
          <w:rFonts w:ascii="inherit" w:eastAsiaTheme="majorEastAsia" w:hAnsi="inherit"/>
          <w:color w:val="1F1F1F"/>
          <w:sz w:val="22"/>
          <w:szCs w:val="22"/>
          <w:lang w:eastAsia="ja-JP"/>
        </w:rPr>
        <w:t>3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を修了し、大学院課程に入学するにはレベル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="001E3F47" w:rsidRPr="0034168F">
        <w:rPr>
          <w:rStyle w:val="y2iqfc"/>
          <w:rFonts w:ascii="inherit" w:eastAsiaTheme="majorEastAsia" w:hAnsi="inherit"/>
          <w:color w:val="1F1F1F"/>
          <w:sz w:val="22"/>
          <w:szCs w:val="22"/>
          <w:lang w:eastAsia="ja-JP"/>
        </w:rPr>
        <w:t>4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を修了する必要があります。</w:t>
      </w:r>
    </w:p>
    <w:p w14:paraId="7AD1B300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28BFB178" w14:textId="6851C1DA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  <w:t xml:space="preserve">ELL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サポート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  <w:t xml:space="preserve">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センター</w:t>
      </w:r>
    </w:p>
    <w:p w14:paraId="5D0808E1" w14:textId="4E3788BC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ELL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サポート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センターは、すべての留学生に無料</w:t>
      </w:r>
      <w:r w:rsidR="004907C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で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個別指導を</w:t>
      </w:r>
      <w:r w:rsidR="00F750A3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するセンターです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。学生は、ライティング、発音、読解、会話、学習スキル、</w:t>
      </w:r>
      <w:r w:rsidR="0064454E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アメリカの大学で必要な学習スキル、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アメリカ文化、</w:t>
      </w:r>
      <w:r w:rsidR="0064454E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などについて</w:t>
      </w:r>
      <w:r w:rsidR="00F278D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のサポート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を受けることが</w:t>
      </w:r>
      <w:r w:rsidR="0064454E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でき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ます。</w:t>
      </w:r>
    </w:p>
    <w:p w14:paraId="18499A19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3312CAA0" w14:textId="298291C8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経験豊富なインストラクター</w:t>
      </w:r>
    </w:p>
    <w:p w14:paraId="72F4337D" w14:textId="06D817D9" w:rsidR="001A4800" w:rsidRPr="0034168F" w:rsidRDefault="00B34523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英語指導の経験豊富な</w:t>
      </w:r>
      <w:r w:rsidR="001A4800"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IELP 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の教員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が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、各学生に個別</w:t>
      </w:r>
      <w:r w:rsidR="00786745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指導を行い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ます。</w:t>
      </w:r>
      <w:r w:rsidR="00936FF4" w:rsidRPr="0034168F"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  <w:t>IELP</w:t>
      </w:r>
      <w:r w:rsidR="00936FF4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インストラクターは、</w:t>
      </w:r>
      <w:r w:rsidR="001A4800"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TESOL 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または同様の分野で修士号以上</w:t>
      </w:r>
      <w:r w:rsidR="001E3F47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の学位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を取得しています。</w:t>
      </w:r>
    </w:p>
    <w:p w14:paraId="1D683AAC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00DCCA9C" w14:textId="42209735" w:rsidR="001A4800" w:rsidRPr="0034168F" w:rsidRDefault="001E3F47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大学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施設へのアクセス</w:t>
      </w:r>
    </w:p>
    <w:p w14:paraId="31556511" w14:textId="3041744E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IELP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の学生は、</w:t>
      </w:r>
      <w:r w:rsidR="00985078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保険管理センター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、図書館、コンピューター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="00B61D3C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センター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</w:t>
      </w:r>
      <w:r w:rsidR="00075965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体育館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</w:t>
      </w:r>
      <w:r w:rsidR="00656A5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フィットネスセンター、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プールなど、</w:t>
      </w:r>
      <w:r w:rsidR="001E3F47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大学の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すべての施設を利用できます。また、フィンドレー大学の</w:t>
      </w:r>
      <w:r w:rsidR="001E3F47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学生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として、個人指導、カウンセリング、学生活動、クラブ、</w:t>
      </w:r>
      <w:r w:rsidR="00B61D3C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そして、ラーニング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サポート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="00B61D3C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センター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も利用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できます。</w:t>
      </w:r>
    </w:p>
    <w:p w14:paraId="3412FEF7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</w:pPr>
    </w:p>
    <w:p w14:paraId="4C3A0842" w14:textId="6ABACD38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  <w:t xml:space="preserve">CEA </w:t>
      </w:r>
      <w:r w:rsidRPr="0034168F">
        <w:rPr>
          <w:rStyle w:val="y2iqfc"/>
          <w:rFonts w:ascii="MS Gothic" w:eastAsia="MS Gothic" w:hAnsi="MS Gothic" w:cs="MS Gothic" w:hint="eastAsia"/>
          <w:color w:val="1F1F1F"/>
          <w:sz w:val="22"/>
          <w:szCs w:val="22"/>
          <w:u w:val="single"/>
          <w:lang w:eastAsia="ja-JP"/>
        </w:rPr>
        <w:t>認定</w:t>
      </w:r>
    </w:p>
    <w:p w14:paraId="695BBBD8" w14:textId="36D565CB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IELP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の集中プログラムは、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2029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年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4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月まで英語プログラム認定委員会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(CEA)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から全国認定を受けています。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CEA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は、米国教育省により</w:t>
      </w:r>
      <w:r w:rsidR="00804065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外国語教育施設の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認定機関として認められてい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る教育認可団体です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。</w:t>
      </w:r>
    </w:p>
    <w:p w14:paraId="5B847245" w14:textId="574D0EAF" w:rsidR="000811C6" w:rsidRPr="0034168F" w:rsidRDefault="000811C6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3F69DC5F" w14:textId="1DE1F0B1" w:rsidR="001A4800" w:rsidRPr="0034168F" w:rsidRDefault="0030521A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大学生活、地域生活との関わり</w:t>
      </w:r>
    </w:p>
    <w:p w14:paraId="5B37FBAE" w14:textId="2D2D40F4" w:rsidR="001A4800" w:rsidRPr="0034168F" w:rsidRDefault="008F3474" w:rsidP="001A4800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留学生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は、</w:t>
      </w:r>
      <w:r w:rsidR="000811C6" w:rsidRPr="0034168F">
        <w:rPr>
          <w:rStyle w:val="y2iqfc"/>
          <w:rFonts w:ascii="MS Mincho" w:eastAsia="MS Mincho" w:hAnsi="MS Mincho" w:cs="MS Mincho"/>
          <w:color w:val="1F1F1F"/>
          <w:sz w:val="22"/>
          <w:szCs w:val="22"/>
          <w:lang w:eastAsia="ja-JP"/>
        </w:rPr>
        <w:t>IELP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や大学の様々なプログラムを通じて、</w:t>
      </w:r>
      <w:r w:rsidR="002419E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教室以外でアメリカ文化に触れ</w:t>
      </w:r>
      <w:r w:rsidR="0094523D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て、地域の市民と交流す</w:t>
      </w:r>
      <w:r w:rsidR="002419E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る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ことができます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。これらの機会は、</w:t>
      </w:r>
      <w:r w:rsidR="00651389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大切な言語学習の場であることに加えて、</w:t>
      </w:r>
      <w:r w:rsidR="001A480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文化体験</w:t>
      </w:r>
      <w:r w:rsidR="009329A8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、</w:t>
      </w:r>
      <w:r w:rsidR="00D82B6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ボランティア、そして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アメリカ生活</w:t>
      </w:r>
      <w:r w:rsidR="00D82B6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を楽しむ</w:t>
      </w:r>
      <w:r w:rsidR="000811C6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機会</w:t>
      </w:r>
      <w:r w:rsidR="00D82B6A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と</w:t>
      </w:r>
      <w:r w:rsidR="0067746B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なります。</w:t>
      </w:r>
    </w:p>
    <w:p w14:paraId="0DBF33E1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</w:p>
    <w:p w14:paraId="7B360744" w14:textId="7DECBAAB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MS Mincho" w:eastAsia="MS Mincho" w:hAnsi="MS Mincho" w:cs="MS Mincho"/>
          <w:color w:val="1F1F1F"/>
          <w:sz w:val="22"/>
          <w:szCs w:val="22"/>
          <w:u w:val="single"/>
          <w:lang w:eastAsia="ja-JP"/>
        </w:rPr>
      </w:pP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フィンドレー市</w:t>
      </w:r>
      <w:r w:rsidR="00C63CE8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u w:val="single"/>
          <w:lang w:eastAsia="ja-JP"/>
        </w:rPr>
        <w:t>の特徴</w:t>
      </w:r>
    </w:p>
    <w:p w14:paraId="62C1B54F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u w:val="single"/>
          <w:lang w:eastAsia="ja-JP"/>
        </w:rPr>
      </w:pPr>
    </w:p>
    <w:p w14:paraId="3991D786" w14:textId="02044242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•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安全</w:t>
      </w:r>
      <w:r w:rsidR="00393B49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な小都市（人口</w:t>
      </w:r>
      <w:r w:rsidR="00393B49"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44,000 </w:t>
      </w:r>
      <w:r w:rsidR="00393B49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人）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で、美しい</w:t>
      </w:r>
      <w:r w:rsidR="00393B49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景観に恵まれている</w:t>
      </w:r>
    </w:p>
    <w:p w14:paraId="2B05FF2E" w14:textId="09174DC1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•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米国</w:t>
      </w:r>
      <w:r w:rsidR="004574E0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全体でも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有数の</w:t>
      </w:r>
      <w:r w:rsidR="00C63CE8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経済的に活発な小都市</w:t>
      </w:r>
    </w:p>
    <w:p w14:paraId="201B56D6" w14:textId="77777777" w:rsidR="001A4800" w:rsidRPr="0034168F" w:rsidRDefault="001A4800" w:rsidP="001A4800">
      <w:pPr>
        <w:pStyle w:val="HTMLPreformatted"/>
        <w:shd w:val="clear" w:color="auto" w:fill="F8F9FA"/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•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活気あるダウンタウン</w:t>
      </w:r>
    </w:p>
    <w:p w14:paraId="53DF2263" w14:textId="48613EF6" w:rsidR="001A4800" w:rsidRPr="0034168F" w:rsidRDefault="001A4800" w:rsidP="001A4800">
      <w:pPr>
        <w:pStyle w:val="HTMLPreformatted"/>
        <w:shd w:val="clear" w:color="auto" w:fill="F8F9FA"/>
        <w:rPr>
          <w:rFonts w:ascii="inherit" w:hAnsi="inherit"/>
          <w:color w:val="1F1F1F"/>
          <w:sz w:val="22"/>
          <w:szCs w:val="22"/>
          <w:lang w:eastAsia="ja-JP"/>
        </w:rPr>
      </w:pP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•</w:t>
      </w:r>
      <w:r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 xml:space="preserve"> </w:t>
      </w:r>
      <w:r w:rsidR="00A46634" w:rsidRPr="0034168F">
        <w:rPr>
          <w:rStyle w:val="y2iqfc"/>
          <w:rFonts w:ascii="inherit" w:eastAsiaTheme="majorEastAsia" w:hAnsi="inherit" w:hint="eastAsia"/>
          <w:color w:val="1F1F1F"/>
          <w:sz w:val="22"/>
          <w:szCs w:val="22"/>
          <w:lang w:eastAsia="ja-JP"/>
        </w:rPr>
        <w:t>多様な文化からの</w:t>
      </w:r>
      <w:r w:rsidR="00A46634"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住民</w:t>
      </w:r>
      <w:r w:rsidRPr="0034168F">
        <w:rPr>
          <w:rStyle w:val="y2iqfc"/>
          <w:rFonts w:ascii="MS Mincho" w:eastAsia="MS Mincho" w:hAnsi="MS Mincho" w:cs="MS Mincho" w:hint="eastAsia"/>
          <w:color w:val="1F1F1F"/>
          <w:sz w:val="22"/>
          <w:szCs w:val="22"/>
          <w:lang w:eastAsia="ja-JP"/>
        </w:rPr>
        <w:t>が多い</w:t>
      </w:r>
    </w:p>
    <w:p w14:paraId="7B707A73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eastAsia="ja-JP"/>
        </w:rPr>
      </w:pPr>
    </w:p>
    <w:p w14:paraId="25168285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eastAsia="ja-JP"/>
        </w:rPr>
      </w:pPr>
    </w:p>
    <w:p w14:paraId="6B99DBA4" w14:textId="77777777" w:rsidR="004D0B8B" w:rsidRDefault="004D0B8B" w:rsidP="004D0B8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eastAsia="ja-JP"/>
        </w:rPr>
      </w:pPr>
    </w:p>
    <w:p w14:paraId="12607DAF" w14:textId="77777777" w:rsidR="00B0215D" w:rsidRDefault="00B0215D">
      <w:pPr>
        <w:rPr>
          <w:lang w:eastAsia="ja-JP"/>
        </w:rPr>
      </w:pPr>
    </w:p>
    <w:sectPr w:rsidR="00B0215D" w:rsidSect="0034168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lab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8B"/>
    <w:rsid w:val="0005470D"/>
    <w:rsid w:val="00075965"/>
    <w:rsid w:val="000811C6"/>
    <w:rsid w:val="0008422A"/>
    <w:rsid w:val="00095260"/>
    <w:rsid w:val="000A1BAF"/>
    <w:rsid w:val="000C445E"/>
    <w:rsid w:val="001A4800"/>
    <w:rsid w:val="001E3F47"/>
    <w:rsid w:val="002419E6"/>
    <w:rsid w:val="00244B7D"/>
    <w:rsid w:val="00264AF9"/>
    <w:rsid w:val="0030521A"/>
    <w:rsid w:val="0034168F"/>
    <w:rsid w:val="00393B49"/>
    <w:rsid w:val="003B66D0"/>
    <w:rsid w:val="003F43CA"/>
    <w:rsid w:val="00427438"/>
    <w:rsid w:val="00446245"/>
    <w:rsid w:val="004574E0"/>
    <w:rsid w:val="004907CA"/>
    <w:rsid w:val="004D0B8B"/>
    <w:rsid w:val="004E15D9"/>
    <w:rsid w:val="004E78F3"/>
    <w:rsid w:val="00580E01"/>
    <w:rsid w:val="005D71F5"/>
    <w:rsid w:val="006055D8"/>
    <w:rsid w:val="0064454E"/>
    <w:rsid w:val="00651389"/>
    <w:rsid w:val="00656A5A"/>
    <w:rsid w:val="0067746B"/>
    <w:rsid w:val="0068731D"/>
    <w:rsid w:val="006A3A0F"/>
    <w:rsid w:val="007305A7"/>
    <w:rsid w:val="00742152"/>
    <w:rsid w:val="007660B9"/>
    <w:rsid w:val="00770EF2"/>
    <w:rsid w:val="00786745"/>
    <w:rsid w:val="00804065"/>
    <w:rsid w:val="00826C37"/>
    <w:rsid w:val="008914A1"/>
    <w:rsid w:val="008F3474"/>
    <w:rsid w:val="00904A2C"/>
    <w:rsid w:val="00907B4D"/>
    <w:rsid w:val="00917E57"/>
    <w:rsid w:val="009329A8"/>
    <w:rsid w:val="00936FF4"/>
    <w:rsid w:val="009446C7"/>
    <w:rsid w:val="0094523D"/>
    <w:rsid w:val="009822A5"/>
    <w:rsid w:val="00985078"/>
    <w:rsid w:val="009971CA"/>
    <w:rsid w:val="009B48FC"/>
    <w:rsid w:val="00A46634"/>
    <w:rsid w:val="00AE62D9"/>
    <w:rsid w:val="00B0215D"/>
    <w:rsid w:val="00B34523"/>
    <w:rsid w:val="00B61D3C"/>
    <w:rsid w:val="00C20E39"/>
    <w:rsid w:val="00C63CE8"/>
    <w:rsid w:val="00D23A71"/>
    <w:rsid w:val="00D82B6A"/>
    <w:rsid w:val="00DF734D"/>
    <w:rsid w:val="00E15F0A"/>
    <w:rsid w:val="00E233EC"/>
    <w:rsid w:val="00EA6A6F"/>
    <w:rsid w:val="00EB79D5"/>
    <w:rsid w:val="00F0627A"/>
    <w:rsid w:val="00F278DA"/>
    <w:rsid w:val="00F43F46"/>
    <w:rsid w:val="00F750A3"/>
    <w:rsid w:val="00F84291"/>
    <w:rsid w:val="00F86115"/>
    <w:rsid w:val="00FA5150"/>
    <w:rsid w:val="00FE0A7E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2EF04"/>
  <w15:chartTrackingRefBased/>
  <w15:docId w15:val="{41D44F80-73F9-8E49-9DE3-70B77CE4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B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D0B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0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0B8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4D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0027662C4F149908031B333F39E84" ma:contentTypeVersion="1" ma:contentTypeDescription="Create a new document." ma:contentTypeScope="" ma:versionID="50f28355640c8ff46f3ad92b5b48506e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bc580c3011d5ae0b61aaf6655b9d8d56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65M42YJNURMD-1630347026-40</_dlc_DocId>
    <_dlc_DocIdUrl xmlns="881cbc62-9c94-4650-91c8-fbcdad032e96">
      <Url>https://edit.findlay.edu/arts-humanities-social-sciences/language-culture/_layouts/15/DocIdRedir.aspx?ID=65M42YJNURMD-1630347026-40</Url>
      <Description>65M42YJNURMD-1630347026-40</Description>
    </_dlc_DocIdUrl>
  </documentManagement>
</p:properties>
</file>

<file path=customXml/itemProps1.xml><?xml version="1.0" encoding="utf-8"?>
<ds:datastoreItem xmlns:ds="http://schemas.openxmlformats.org/officeDocument/2006/customXml" ds:itemID="{4BF63C05-1AC1-4A03-8C13-FE611573E742}"/>
</file>

<file path=customXml/itemProps2.xml><?xml version="1.0" encoding="utf-8"?>
<ds:datastoreItem xmlns:ds="http://schemas.openxmlformats.org/officeDocument/2006/customXml" ds:itemID="{10A19D88-4F50-4B54-B54F-140737E3940E}"/>
</file>

<file path=customXml/itemProps3.xml><?xml version="1.0" encoding="utf-8"?>
<ds:datastoreItem xmlns:ds="http://schemas.openxmlformats.org/officeDocument/2006/customXml" ds:itemID="{B476F216-B9C4-4520-8B87-068A15E1F4F2}"/>
</file>

<file path=customXml/itemProps4.xml><?xml version="1.0" encoding="utf-8"?>
<ds:datastoreItem xmlns:ds="http://schemas.openxmlformats.org/officeDocument/2006/customXml" ds:itemID="{33940138-204A-4040-91DA-87EC88558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Mott</dc:creator>
  <cp:keywords/>
  <dc:description/>
  <cp:lastModifiedBy>Greg Mott</cp:lastModifiedBy>
  <cp:revision>2</cp:revision>
  <dcterms:created xsi:type="dcterms:W3CDTF">2025-03-24T13:28:00Z</dcterms:created>
  <dcterms:modified xsi:type="dcterms:W3CDTF">2025-03-24T13:28:00Z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0x0101003F30027662C4F149908031B333F39E84</vt:lpwstr>
  </property>
  <property fmtid="{D5CDD505-2E9C-101B-9397-08002B2CF9AE}" pid="3" name="_dlc_DocIdItemGuid">
    <vt:lpwstr>b436846e-d593-4ab5-a6f2-000d7ce82521</vt:lpwstr>
  </property>
</Properties>
</file>