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6066" w14:textId="77777777" w:rsidR="00415706" w:rsidRPr="00415706" w:rsidRDefault="00415706" w:rsidP="00415706">
      <w:pPr>
        <w:pStyle w:val="commentcontentpara"/>
        <w:spacing w:before="0" w:beforeAutospacing="0" w:after="0" w:afterAutospacing="0"/>
        <w:jc w:val="center"/>
        <w:rPr>
          <w:rFonts w:ascii="Avenir Book" w:hAnsi="Avenir Book"/>
          <w:b/>
          <w:bCs/>
          <w:sz w:val="28"/>
          <w:szCs w:val="28"/>
        </w:rPr>
      </w:pPr>
      <w:proofErr w:type="spellStart"/>
      <w:r w:rsidRPr="00415706">
        <w:rPr>
          <w:rFonts w:ascii="Avenir Book" w:hAnsi="Avenir Book"/>
          <w:b/>
          <w:bCs/>
          <w:sz w:val="28"/>
          <w:szCs w:val="28"/>
        </w:rPr>
        <w:t>Programa</w:t>
      </w:r>
      <w:proofErr w:type="spellEnd"/>
      <w:r w:rsidRPr="00415706">
        <w:rPr>
          <w:rFonts w:ascii="Avenir Book" w:hAnsi="Avenir Book"/>
          <w:b/>
          <w:bCs/>
          <w:sz w:val="28"/>
          <w:szCs w:val="28"/>
        </w:rPr>
        <w:t xml:space="preserve"> </w:t>
      </w:r>
      <w:proofErr w:type="spellStart"/>
      <w:r w:rsidRPr="00415706">
        <w:rPr>
          <w:rFonts w:ascii="Avenir Book" w:hAnsi="Avenir Book"/>
          <w:b/>
          <w:bCs/>
          <w:sz w:val="28"/>
          <w:szCs w:val="28"/>
        </w:rPr>
        <w:t>Intensivo</w:t>
      </w:r>
      <w:proofErr w:type="spellEnd"/>
      <w:r w:rsidRPr="00415706">
        <w:rPr>
          <w:rFonts w:ascii="Avenir Book" w:hAnsi="Avenir Book"/>
          <w:b/>
          <w:bCs/>
          <w:sz w:val="28"/>
          <w:szCs w:val="28"/>
        </w:rPr>
        <w:t xml:space="preserve"> de Lengua </w:t>
      </w:r>
      <w:proofErr w:type="spellStart"/>
      <w:r w:rsidRPr="00415706">
        <w:rPr>
          <w:rFonts w:ascii="Avenir Book" w:hAnsi="Avenir Book"/>
          <w:b/>
          <w:bCs/>
          <w:sz w:val="28"/>
          <w:szCs w:val="28"/>
        </w:rPr>
        <w:t>Inglesa</w:t>
      </w:r>
      <w:proofErr w:type="spellEnd"/>
    </w:p>
    <w:p w14:paraId="03F64709" w14:textId="77777777" w:rsidR="005578FF" w:rsidRDefault="005578FF" w:rsidP="005578FF">
      <w:pPr>
        <w:pStyle w:val="NormalWeb"/>
        <w:spacing w:before="0" w:beforeAutospacing="0" w:after="0" w:afterAutospacing="0"/>
        <w:jc w:val="center"/>
        <w:rPr>
          <w:rFonts w:ascii="Avenir" w:hAnsi="Avenir"/>
          <w:b/>
          <w:bCs/>
          <w:color w:val="000000" w:themeColor="text1"/>
          <w:sz w:val="26"/>
          <w:szCs w:val="26"/>
        </w:rPr>
      </w:pPr>
      <w:r>
        <w:rPr>
          <w:rFonts w:ascii="Avenir" w:hAnsi="Avenir"/>
          <w:b/>
          <w:bCs/>
          <w:color w:val="000000" w:themeColor="text1"/>
          <w:sz w:val="26"/>
          <w:szCs w:val="26"/>
        </w:rPr>
        <w:t>Intensive English Language Programs (</w:t>
      </w:r>
      <w:r w:rsidRPr="008B2E1C">
        <w:rPr>
          <w:rFonts w:ascii="Avenir" w:hAnsi="Avenir"/>
          <w:b/>
          <w:bCs/>
          <w:color w:val="000000" w:themeColor="text1"/>
          <w:sz w:val="26"/>
          <w:szCs w:val="26"/>
        </w:rPr>
        <w:t>IELP</w:t>
      </w:r>
      <w:r>
        <w:rPr>
          <w:rFonts w:ascii="Avenir" w:hAnsi="Avenir"/>
          <w:b/>
          <w:bCs/>
          <w:color w:val="000000" w:themeColor="text1"/>
          <w:sz w:val="26"/>
          <w:szCs w:val="26"/>
        </w:rPr>
        <w:t>)</w:t>
      </w:r>
    </w:p>
    <w:p w14:paraId="1A0FD619" w14:textId="77777777" w:rsidR="005578FF" w:rsidRDefault="005578FF" w:rsidP="005578FF">
      <w:pPr>
        <w:pStyle w:val="NormalWeb"/>
        <w:spacing w:before="0" w:beforeAutospacing="0" w:after="0" w:afterAutospacing="0"/>
        <w:jc w:val="center"/>
        <w:rPr>
          <w:rFonts w:ascii="Avenir" w:hAnsi="Avenir"/>
          <w:b/>
          <w:bCs/>
          <w:color w:val="000000" w:themeColor="text1"/>
          <w:sz w:val="26"/>
          <w:szCs w:val="26"/>
        </w:rPr>
      </w:pPr>
      <w:r>
        <w:rPr>
          <w:rFonts w:ascii="Avenir" w:hAnsi="Avenir"/>
          <w:b/>
          <w:bCs/>
          <w:color w:val="000000" w:themeColor="text1"/>
          <w:sz w:val="26"/>
          <w:szCs w:val="26"/>
        </w:rPr>
        <w:t>University of Findlay</w:t>
      </w:r>
    </w:p>
    <w:p w14:paraId="6C954EE7" w14:textId="77777777" w:rsidR="005578FF" w:rsidRDefault="005578FF" w:rsidP="005578FF">
      <w:pPr>
        <w:pStyle w:val="NormalWeb"/>
        <w:spacing w:before="0" w:beforeAutospacing="0" w:after="0" w:afterAutospacing="0"/>
        <w:jc w:val="center"/>
        <w:rPr>
          <w:rFonts w:ascii="Avenir" w:hAnsi="Avenir"/>
          <w:b/>
          <w:bCs/>
          <w:color w:val="000000" w:themeColor="text1"/>
          <w:sz w:val="26"/>
          <w:szCs w:val="26"/>
        </w:rPr>
      </w:pPr>
      <w:r w:rsidRPr="008B2E1C">
        <w:rPr>
          <w:rFonts w:ascii="Avenir" w:hAnsi="Avenir"/>
          <w:b/>
          <w:bCs/>
          <w:color w:val="000000" w:themeColor="text1"/>
          <w:sz w:val="26"/>
          <w:szCs w:val="26"/>
        </w:rPr>
        <w:t xml:space="preserve"> Plans of Study</w:t>
      </w:r>
      <w:r>
        <w:rPr>
          <w:rFonts w:ascii="Avenir" w:hAnsi="Avenir"/>
          <w:b/>
          <w:bCs/>
          <w:color w:val="000000" w:themeColor="text1"/>
          <w:sz w:val="26"/>
          <w:szCs w:val="26"/>
        </w:rPr>
        <w:t>: Spanish</w:t>
      </w:r>
    </w:p>
    <w:p w14:paraId="3700DB3F" w14:textId="77777777" w:rsidR="005578FF" w:rsidRPr="008B2E1C" w:rsidRDefault="005578FF" w:rsidP="005578FF">
      <w:pPr>
        <w:pStyle w:val="NormalWeb"/>
        <w:spacing w:before="0" w:beforeAutospacing="0" w:after="0" w:afterAutospacing="0"/>
        <w:jc w:val="center"/>
        <w:rPr>
          <w:b/>
          <w:bCs/>
          <w:color w:val="000000" w:themeColor="text1"/>
        </w:rPr>
      </w:pPr>
    </w:p>
    <w:p w14:paraId="36E7C5F2" w14:textId="30ADAD40" w:rsidR="005578FF" w:rsidRPr="008B2E1C"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lang w:val="es-ES"/>
          <w14:ligatures w14:val="none"/>
        </w:rPr>
      </w:pPr>
      <w:r w:rsidRPr="008B2E1C">
        <w:rPr>
          <w:rFonts w:ascii="inherit" w:eastAsia="Times New Roman" w:hAnsi="inherit" w:cs="Courier New"/>
          <w:color w:val="1F1F1F"/>
          <w:kern w:val="0"/>
          <w:lang w:val="es-ES"/>
          <w14:ligatures w14:val="none"/>
        </w:rPr>
        <w:t xml:space="preserve">El </w:t>
      </w:r>
      <w:r w:rsidR="00415706">
        <w:rPr>
          <w:rFonts w:ascii="inherit" w:eastAsia="Times New Roman" w:hAnsi="inherit" w:cs="Courier New"/>
          <w:color w:val="1F1F1F"/>
          <w:kern w:val="0"/>
          <w:lang w:val="es-ES"/>
          <w14:ligatures w14:val="none"/>
        </w:rPr>
        <w:t xml:space="preserve">programa </w:t>
      </w:r>
      <w:r w:rsidRPr="008B2E1C">
        <w:rPr>
          <w:rFonts w:ascii="inherit" w:eastAsia="Times New Roman" w:hAnsi="inherit" w:cs="Courier New"/>
          <w:color w:val="1F1F1F"/>
          <w:kern w:val="0"/>
          <w:lang w:val="es-ES"/>
          <w14:ligatures w14:val="none"/>
        </w:rPr>
        <w:t>IELP ofrece tres planes de estudio diferentes:</w:t>
      </w:r>
    </w:p>
    <w:p w14:paraId="74A1A862" w14:textId="77777777" w:rsidR="005578FF"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lang w:val="es-ES"/>
          <w14:ligatures w14:val="none"/>
        </w:rPr>
      </w:pPr>
    </w:p>
    <w:p w14:paraId="78C59EC6" w14:textId="77777777" w:rsidR="005578FF"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u w:val="single"/>
          <w:lang w:val="es-ES"/>
          <w14:ligatures w14:val="none"/>
        </w:rPr>
      </w:pPr>
      <w:r w:rsidRPr="008B2E1C">
        <w:rPr>
          <w:rFonts w:ascii="inherit" w:eastAsia="Times New Roman" w:hAnsi="inherit" w:cs="Courier New"/>
          <w:color w:val="1F1F1F"/>
          <w:kern w:val="0"/>
          <w:u w:val="single"/>
          <w:lang w:val="es-ES"/>
          <w14:ligatures w14:val="none"/>
        </w:rPr>
        <w:t>Programa Intensivo de Lengua Inglesa (IELP) (IELTS 1.0 - 5.5)</w:t>
      </w:r>
    </w:p>
    <w:p w14:paraId="506916C7" w14:textId="77777777" w:rsidR="005578FF" w:rsidRPr="008B2E1C"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u w:val="single"/>
          <w:lang w:val="es-ES"/>
          <w14:ligatures w14:val="none"/>
        </w:rPr>
      </w:pPr>
    </w:p>
    <w:p w14:paraId="6A9BAC14" w14:textId="77777777" w:rsidR="005578FF" w:rsidRPr="008B2E1C"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lang w:val="es-ES"/>
          <w14:ligatures w14:val="none"/>
        </w:rPr>
      </w:pPr>
      <w:r w:rsidRPr="008B2E1C">
        <w:rPr>
          <w:rFonts w:ascii="inherit" w:eastAsia="Times New Roman" w:hAnsi="inherit" w:cs="Courier New"/>
          <w:color w:val="1F1F1F"/>
          <w:kern w:val="0"/>
          <w:lang w:val="es-ES"/>
          <w14:ligatures w14:val="none"/>
        </w:rPr>
        <w:t xml:space="preserve">El Programa Intensivo de </w:t>
      </w:r>
      <w:proofErr w:type="gramStart"/>
      <w:r w:rsidRPr="008B2E1C">
        <w:rPr>
          <w:rFonts w:ascii="inherit" w:eastAsia="Times New Roman" w:hAnsi="inherit" w:cs="Courier New"/>
          <w:color w:val="1F1F1F"/>
          <w:kern w:val="0"/>
          <w:lang w:val="es-ES"/>
          <w14:ligatures w14:val="none"/>
        </w:rPr>
        <w:t>Inglés</w:t>
      </w:r>
      <w:proofErr w:type="gramEnd"/>
      <w:r w:rsidRPr="008B2E1C">
        <w:rPr>
          <w:rFonts w:ascii="inherit" w:eastAsia="Times New Roman" w:hAnsi="inherit" w:cs="Courier New"/>
          <w:color w:val="1F1F1F"/>
          <w:kern w:val="0"/>
          <w:lang w:val="es-ES"/>
          <w14:ligatures w14:val="none"/>
        </w:rPr>
        <w:t xml:space="preserve"> consta de cuatro niveles de estudio. Los niveles 1 y 2 se centran en la comunicación interpersonal y preparan a los estudiantes para conversaciones y situaciones comunes en el campus y en la comunidad. Los niveles 3 y 4 se centran en el lenguaje y las habilidades académicas. Cada nivel tiene una duración de 18 horas semanales y se puede completar en 16 semanas.</w:t>
      </w:r>
    </w:p>
    <w:p w14:paraId="712568A9" w14:textId="77777777" w:rsidR="005578FF"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lang w:val="es-ES"/>
          <w14:ligatures w14:val="none"/>
        </w:rPr>
      </w:pPr>
    </w:p>
    <w:p w14:paraId="432CFCBA" w14:textId="77777777" w:rsidR="005578FF" w:rsidRPr="008B2E1C"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lang w:val="es-ES"/>
          <w14:ligatures w14:val="none"/>
        </w:rPr>
      </w:pPr>
      <w:r w:rsidRPr="008B2E1C">
        <w:rPr>
          <w:rFonts w:ascii="inherit" w:eastAsia="Times New Roman" w:hAnsi="inherit" w:cs="Courier New"/>
          <w:color w:val="1F1F1F"/>
          <w:kern w:val="0"/>
          <w:lang w:val="es-ES"/>
          <w14:ligatures w14:val="none"/>
        </w:rPr>
        <w:t>• Escritura y Gramática (4 créditos)</w:t>
      </w:r>
    </w:p>
    <w:p w14:paraId="2FE8439D" w14:textId="77777777" w:rsidR="005578FF" w:rsidRPr="008B2E1C"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lang w:val="es-ES"/>
          <w14:ligatures w14:val="none"/>
        </w:rPr>
      </w:pPr>
      <w:r w:rsidRPr="008B2E1C">
        <w:rPr>
          <w:rFonts w:ascii="inherit" w:eastAsia="Times New Roman" w:hAnsi="inherit" w:cs="Courier New"/>
          <w:color w:val="1F1F1F"/>
          <w:kern w:val="0"/>
          <w:lang w:val="es-ES"/>
          <w14:ligatures w14:val="none"/>
        </w:rPr>
        <w:t>• Expresión Oral y Comprensión Auditiva (4 créditos)</w:t>
      </w:r>
    </w:p>
    <w:p w14:paraId="7C76A1EB" w14:textId="77777777" w:rsidR="005578FF" w:rsidRPr="008B2E1C"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lang w:val="es-ES"/>
          <w14:ligatures w14:val="none"/>
        </w:rPr>
      </w:pPr>
      <w:r w:rsidRPr="008B2E1C">
        <w:rPr>
          <w:rFonts w:ascii="inherit" w:eastAsia="Times New Roman" w:hAnsi="inherit" w:cs="Courier New"/>
          <w:color w:val="1F1F1F"/>
          <w:kern w:val="0"/>
          <w:lang w:val="es-ES"/>
          <w14:ligatures w14:val="none"/>
        </w:rPr>
        <w:t>• Lectura y Vocabulario (4 créditos)</w:t>
      </w:r>
    </w:p>
    <w:p w14:paraId="6E2EA3F0" w14:textId="77777777" w:rsidR="005578FF" w:rsidRPr="008B2E1C"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lang w:val="es-ES"/>
          <w14:ligatures w14:val="none"/>
        </w:rPr>
      </w:pPr>
      <w:r w:rsidRPr="008B2E1C">
        <w:rPr>
          <w:rFonts w:ascii="inherit" w:eastAsia="Times New Roman" w:hAnsi="inherit" w:cs="Courier New"/>
          <w:color w:val="1F1F1F"/>
          <w:kern w:val="0"/>
          <w:lang w:val="es-ES"/>
          <w14:ligatures w14:val="none"/>
        </w:rPr>
        <w:t>• Alfabetización Académica (3 créditos)</w:t>
      </w:r>
    </w:p>
    <w:p w14:paraId="0E5419DD" w14:textId="77777777" w:rsidR="005578FF" w:rsidRPr="008B2E1C"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lang w:val="es-ES"/>
          <w14:ligatures w14:val="none"/>
        </w:rPr>
      </w:pPr>
      <w:r w:rsidRPr="008B2E1C">
        <w:rPr>
          <w:rFonts w:ascii="inherit" w:eastAsia="Times New Roman" w:hAnsi="inherit" w:cs="Courier New"/>
          <w:color w:val="1F1F1F"/>
          <w:kern w:val="0"/>
          <w:lang w:val="es-ES"/>
          <w14:ligatures w14:val="none"/>
        </w:rPr>
        <w:t>• Campus y Comunidad (3 créditos)</w:t>
      </w:r>
    </w:p>
    <w:p w14:paraId="4B70E783" w14:textId="77777777" w:rsidR="005578FF" w:rsidRPr="008B2E1C"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lang w:val="es-ES"/>
          <w14:ligatures w14:val="none"/>
        </w:rPr>
      </w:pPr>
      <w:r w:rsidRPr="008B2E1C">
        <w:rPr>
          <w:rFonts w:ascii="inherit" w:eastAsia="Times New Roman" w:hAnsi="inherit" w:cs="Courier New"/>
          <w:color w:val="1F1F1F"/>
          <w:kern w:val="0"/>
          <w:lang w:val="es-ES"/>
          <w14:ligatures w14:val="none"/>
        </w:rPr>
        <w:t>• Temas Especiales (3 créditos)</w:t>
      </w:r>
    </w:p>
    <w:p w14:paraId="456E5738" w14:textId="77777777" w:rsidR="005578FF"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lang w:val="es-ES"/>
          <w14:ligatures w14:val="none"/>
        </w:rPr>
      </w:pPr>
    </w:p>
    <w:p w14:paraId="3514D5E3" w14:textId="77777777" w:rsidR="005578FF" w:rsidRPr="008B2E1C"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u w:val="single"/>
          <w:lang w:val="es-ES"/>
          <w14:ligatures w14:val="none"/>
        </w:rPr>
      </w:pPr>
      <w:r w:rsidRPr="008B2E1C">
        <w:rPr>
          <w:rFonts w:ascii="inherit" w:eastAsia="Times New Roman" w:hAnsi="inherit" w:cs="Courier New"/>
          <w:color w:val="1F1F1F"/>
          <w:kern w:val="0"/>
          <w:u w:val="single"/>
          <w:lang w:val="es-ES"/>
          <w14:ligatures w14:val="none"/>
        </w:rPr>
        <w:t>Programa de Fundamentos de Pregrado (IELTS 6.0)</w:t>
      </w:r>
    </w:p>
    <w:p w14:paraId="7B5E376F" w14:textId="77777777" w:rsidR="005578FF"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lang w:val="es-ES"/>
          <w14:ligatures w14:val="none"/>
        </w:rPr>
      </w:pPr>
    </w:p>
    <w:p w14:paraId="68819296" w14:textId="4E4D2F47" w:rsidR="005578FF" w:rsidRPr="008B2E1C"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lang w:val="es-ES"/>
          <w14:ligatures w14:val="none"/>
        </w:rPr>
      </w:pPr>
      <w:r w:rsidRPr="008B2E1C">
        <w:rPr>
          <w:rFonts w:ascii="inherit" w:eastAsia="Times New Roman" w:hAnsi="inherit" w:cs="Courier New"/>
          <w:color w:val="1F1F1F"/>
          <w:kern w:val="0"/>
          <w:lang w:val="es-ES"/>
          <w14:ligatures w14:val="none"/>
        </w:rPr>
        <w:t>El Programa de Fundamentos de Pregrado ofrece desarrollo de escritura, lectura y cultura para estudiantes internacionales en su primer año de estudios de pregrado. Los estudiantes inscritos en este plan de posgrado también se inscriben en cursos de pregrado de 9 a 12 créditos por semestre.</w:t>
      </w:r>
    </w:p>
    <w:p w14:paraId="4DE168AC" w14:textId="77777777" w:rsidR="005578FF"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lang w:val="es-ES"/>
          <w14:ligatures w14:val="none"/>
        </w:rPr>
      </w:pPr>
    </w:p>
    <w:p w14:paraId="5B7962B4" w14:textId="77777777" w:rsidR="005578FF" w:rsidRPr="008B2E1C"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lang w:val="es-ES"/>
          <w14:ligatures w14:val="none"/>
        </w:rPr>
      </w:pPr>
      <w:r w:rsidRPr="008B2E1C">
        <w:rPr>
          <w:rFonts w:ascii="inherit" w:eastAsia="Times New Roman" w:hAnsi="inherit" w:cs="Courier New"/>
          <w:color w:val="1F1F1F"/>
          <w:kern w:val="0"/>
          <w:lang w:val="es-ES"/>
          <w14:ligatures w14:val="none"/>
        </w:rPr>
        <w:t>• Escritura Universitaria I (3 créditos)</w:t>
      </w:r>
    </w:p>
    <w:p w14:paraId="5ACC7386" w14:textId="77777777" w:rsidR="005578FF" w:rsidRPr="008B2E1C"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lang w:val="es-ES"/>
          <w14:ligatures w14:val="none"/>
        </w:rPr>
      </w:pPr>
      <w:r w:rsidRPr="008B2E1C">
        <w:rPr>
          <w:rFonts w:ascii="inherit" w:eastAsia="Times New Roman" w:hAnsi="inherit" w:cs="Courier New"/>
          <w:color w:val="1F1F1F"/>
          <w:kern w:val="0"/>
          <w:lang w:val="es-ES"/>
          <w14:ligatures w14:val="none"/>
        </w:rPr>
        <w:t>• Escritura Universitaria II (3 créditos)</w:t>
      </w:r>
    </w:p>
    <w:p w14:paraId="7078B73D" w14:textId="77777777" w:rsidR="005578FF" w:rsidRPr="008B2E1C"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lang w:val="es-ES"/>
          <w14:ligatures w14:val="none"/>
        </w:rPr>
      </w:pPr>
      <w:r w:rsidRPr="008B2E1C">
        <w:rPr>
          <w:rFonts w:ascii="inherit" w:eastAsia="Times New Roman" w:hAnsi="inherit" w:cs="Courier New"/>
          <w:color w:val="1F1F1F"/>
          <w:kern w:val="0"/>
          <w:lang w:val="es-ES"/>
          <w14:ligatures w14:val="none"/>
        </w:rPr>
        <w:t>• Alfabetización Académica (3 créditos)</w:t>
      </w:r>
    </w:p>
    <w:p w14:paraId="621A9E03" w14:textId="77777777" w:rsidR="005578FF"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lang w:val="es-ES"/>
          <w14:ligatures w14:val="none"/>
        </w:rPr>
      </w:pPr>
    </w:p>
    <w:p w14:paraId="322CC6DC" w14:textId="77777777" w:rsidR="005578FF" w:rsidRPr="008B2E1C"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u w:val="single"/>
          <w:lang w:val="es-ES"/>
          <w14:ligatures w14:val="none"/>
        </w:rPr>
      </w:pPr>
      <w:r w:rsidRPr="008B2E1C">
        <w:rPr>
          <w:rFonts w:ascii="inherit" w:eastAsia="Times New Roman" w:hAnsi="inherit" w:cs="Courier New"/>
          <w:color w:val="1F1F1F"/>
          <w:kern w:val="0"/>
          <w:u w:val="single"/>
          <w:lang w:val="es-ES"/>
          <w14:ligatures w14:val="none"/>
        </w:rPr>
        <w:t>Programa de Posgrado de ESL (IELTS 6.5+)</w:t>
      </w:r>
    </w:p>
    <w:p w14:paraId="7AD5C3BB" w14:textId="77777777" w:rsidR="005578FF"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lang w:val="es-ES"/>
          <w14:ligatures w14:val="none"/>
        </w:rPr>
      </w:pPr>
    </w:p>
    <w:p w14:paraId="75C2C6A8" w14:textId="77777777" w:rsidR="005578FF" w:rsidRPr="008B2E1C"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lang w:val="es-ES"/>
          <w14:ligatures w14:val="none"/>
        </w:rPr>
      </w:pPr>
      <w:r w:rsidRPr="008B2E1C">
        <w:rPr>
          <w:rFonts w:ascii="inherit" w:eastAsia="Times New Roman" w:hAnsi="inherit" w:cs="Courier New"/>
          <w:color w:val="1F1F1F"/>
          <w:kern w:val="0"/>
          <w:lang w:val="es-ES"/>
          <w14:ligatures w14:val="none"/>
        </w:rPr>
        <w:t>El programa de Posgrado de ESL ofrece cursos que desarrollan las habilidades de escritura, lectura y comunicación necesarias para tener éxito en los estudios de posgrado. Los requisitos para los cursos de ESL de posgrado varían según el programa de maestría. Para consultar los requisitos de idioma del programa de posgrado, visite www.findlay.edu/IELP</w:t>
      </w:r>
    </w:p>
    <w:p w14:paraId="4C4C0042" w14:textId="77777777" w:rsidR="005578FF"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lang w:val="es-ES"/>
          <w14:ligatures w14:val="none"/>
        </w:rPr>
      </w:pPr>
    </w:p>
    <w:p w14:paraId="1AB2CD1B" w14:textId="77777777" w:rsidR="005578FF" w:rsidRPr="008B2E1C"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lang w:val="es-ES"/>
          <w14:ligatures w14:val="none"/>
        </w:rPr>
      </w:pPr>
      <w:r w:rsidRPr="008B2E1C">
        <w:rPr>
          <w:rFonts w:ascii="inherit" w:eastAsia="Times New Roman" w:hAnsi="inherit" w:cs="Courier New"/>
          <w:color w:val="1F1F1F"/>
          <w:kern w:val="0"/>
          <w:lang w:val="es-ES"/>
          <w14:ligatures w14:val="none"/>
        </w:rPr>
        <w:t>• Escritura de Posgrado</w:t>
      </w:r>
    </w:p>
    <w:p w14:paraId="58733237" w14:textId="77777777" w:rsidR="005578FF" w:rsidRPr="008B2E1C"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lang w:val="es-ES"/>
          <w14:ligatures w14:val="none"/>
        </w:rPr>
      </w:pPr>
      <w:r w:rsidRPr="008B2E1C">
        <w:rPr>
          <w:rFonts w:ascii="inherit" w:eastAsia="Times New Roman" w:hAnsi="inherit" w:cs="Courier New"/>
          <w:color w:val="1F1F1F"/>
          <w:kern w:val="0"/>
          <w:lang w:val="es-ES"/>
          <w14:ligatures w14:val="none"/>
        </w:rPr>
        <w:t>• Lectura de Posgrado</w:t>
      </w:r>
    </w:p>
    <w:p w14:paraId="565A44AA" w14:textId="77777777" w:rsidR="005578FF" w:rsidRPr="008B2E1C"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rPr>
          <w:rFonts w:ascii="inherit" w:eastAsia="Times New Roman" w:hAnsi="inherit" w:cs="Courier New"/>
          <w:color w:val="1F1F1F"/>
          <w:kern w:val="0"/>
          <w14:ligatures w14:val="none"/>
        </w:rPr>
      </w:pPr>
      <w:r w:rsidRPr="008B2E1C">
        <w:rPr>
          <w:rFonts w:ascii="inherit" w:eastAsia="Times New Roman" w:hAnsi="inherit" w:cs="Courier New"/>
          <w:color w:val="1F1F1F"/>
          <w:kern w:val="0"/>
          <w:lang w:val="es-ES"/>
          <w14:ligatures w14:val="none"/>
        </w:rPr>
        <w:t>• Expresión Oral y Comprensión Auditiva de Posgrado</w:t>
      </w:r>
    </w:p>
    <w:p w14:paraId="50E5B7FE" w14:textId="77777777" w:rsidR="005578FF" w:rsidRDefault="005578FF" w:rsidP="005578FF">
      <w:pPr>
        <w:pStyle w:val="NormalWeb"/>
        <w:spacing w:before="0" w:beforeAutospacing="0" w:after="0" w:afterAutospacing="0"/>
        <w:jc w:val="center"/>
        <w:rPr>
          <w:rFonts w:ascii="MuseoSlab" w:hAnsi="MuseoSlab"/>
          <w:b/>
          <w:bCs/>
        </w:rPr>
      </w:pPr>
    </w:p>
    <w:p w14:paraId="3F9F812A" w14:textId="77777777" w:rsidR="005578FF" w:rsidRDefault="005578FF" w:rsidP="00415706">
      <w:pPr>
        <w:pStyle w:val="NormalWeb"/>
        <w:spacing w:before="0" w:beforeAutospacing="0" w:after="0" w:afterAutospacing="0"/>
        <w:rPr>
          <w:rFonts w:ascii="MuseoSlab" w:hAnsi="MuseoSlab"/>
          <w:b/>
          <w:bCs/>
        </w:rPr>
      </w:pPr>
    </w:p>
    <w:p w14:paraId="254B4F44" w14:textId="77777777" w:rsidR="00415706" w:rsidRDefault="00415706" w:rsidP="00415706">
      <w:pPr>
        <w:pStyle w:val="NormalWeb"/>
        <w:spacing w:before="0" w:beforeAutospacing="0" w:after="0" w:afterAutospacing="0"/>
        <w:rPr>
          <w:rFonts w:ascii="MuseoSlab" w:hAnsi="MuseoSlab"/>
          <w:b/>
          <w:bCs/>
        </w:rPr>
      </w:pPr>
    </w:p>
    <w:p w14:paraId="3F4C9BA0" w14:textId="77777777" w:rsidR="005578FF" w:rsidRDefault="005578FF" w:rsidP="005578FF">
      <w:pPr>
        <w:pStyle w:val="NormalWeb"/>
        <w:spacing w:before="0" w:beforeAutospacing="0" w:after="0" w:afterAutospacing="0"/>
        <w:jc w:val="center"/>
        <w:rPr>
          <w:rFonts w:ascii="MuseoSlab" w:hAnsi="MuseoSlab"/>
          <w:b/>
          <w:bCs/>
        </w:rPr>
      </w:pPr>
    </w:p>
    <w:p w14:paraId="54BAE991" w14:textId="64FB93DB" w:rsidR="005578FF" w:rsidRPr="00415706" w:rsidRDefault="005578FF" w:rsidP="005578FF">
      <w:pPr>
        <w:pStyle w:val="NormalWeb"/>
        <w:spacing w:before="0" w:beforeAutospacing="0" w:after="0" w:afterAutospacing="0"/>
        <w:jc w:val="center"/>
        <w:rPr>
          <w:rFonts w:ascii="Avenir Book" w:hAnsi="Avenir Book"/>
          <w:b/>
          <w:bCs/>
          <w:sz w:val="28"/>
          <w:szCs w:val="28"/>
        </w:rPr>
      </w:pPr>
      <w:r w:rsidRPr="00415706">
        <w:rPr>
          <w:rFonts w:ascii="Avenir Book" w:hAnsi="Avenir Book"/>
          <w:b/>
          <w:bCs/>
          <w:sz w:val="28"/>
          <w:szCs w:val="28"/>
        </w:rPr>
        <w:t>Intensive English Language Programs (IELP)</w:t>
      </w:r>
    </w:p>
    <w:p w14:paraId="219F38C5" w14:textId="77777777" w:rsidR="005578FF" w:rsidRPr="00415706" w:rsidRDefault="005578FF" w:rsidP="005578FF">
      <w:pPr>
        <w:pStyle w:val="NormalWeb"/>
        <w:spacing w:before="0" w:beforeAutospacing="0" w:after="0" w:afterAutospacing="0"/>
        <w:jc w:val="center"/>
        <w:rPr>
          <w:rFonts w:ascii="Avenir Book" w:hAnsi="Avenir Book"/>
          <w:b/>
          <w:bCs/>
          <w:sz w:val="28"/>
          <w:szCs w:val="28"/>
        </w:rPr>
      </w:pPr>
      <w:r w:rsidRPr="00415706">
        <w:rPr>
          <w:rFonts w:ascii="Avenir Book" w:hAnsi="Avenir Book"/>
          <w:b/>
          <w:bCs/>
          <w:sz w:val="28"/>
          <w:szCs w:val="28"/>
        </w:rPr>
        <w:t>University of Findlay</w:t>
      </w:r>
    </w:p>
    <w:p w14:paraId="74518FEA" w14:textId="1AF88C59" w:rsidR="005578FF" w:rsidRPr="00415706" w:rsidRDefault="00415706" w:rsidP="005578FF">
      <w:pPr>
        <w:pStyle w:val="NormalWeb"/>
        <w:spacing w:before="0" w:beforeAutospacing="0" w:after="0" w:afterAutospacing="0"/>
        <w:jc w:val="center"/>
        <w:rPr>
          <w:rFonts w:ascii="Avenir Book" w:hAnsi="Avenir Book"/>
          <w:b/>
          <w:bCs/>
          <w:sz w:val="28"/>
          <w:szCs w:val="28"/>
        </w:rPr>
      </w:pPr>
      <w:proofErr w:type="spellStart"/>
      <w:r w:rsidRPr="00415706">
        <w:rPr>
          <w:rFonts w:ascii="Avenir Book" w:hAnsi="Avenir Book" w:cs="Helvetica Neue"/>
          <w:b/>
          <w:bCs/>
          <w:color w:val="000000"/>
          <w:sz w:val="28"/>
          <w:szCs w:val="28"/>
        </w:rPr>
        <w:t>Descripción</w:t>
      </w:r>
      <w:proofErr w:type="spellEnd"/>
      <w:r w:rsidRPr="00415706">
        <w:rPr>
          <w:rFonts w:ascii="Avenir Book" w:hAnsi="Avenir Book" w:cs="Helvetica Neue"/>
          <w:b/>
          <w:bCs/>
          <w:color w:val="000000"/>
          <w:sz w:val="28"/>
          <w:szCs w:val="28"/>
        </w:rPr>
        <w:t xml:space="preserve"> general</w:t>
      </w:r>
      <w:r w:rsidR="005578FF" w:rsidRPr="00415706">
        <w:rPr>
          <w:rFonts w:ascii="Avenir Book" w:hAnsi="Avenir Book"/>
          <w:b/>
          <w:bCs/>
          <w:sz w:val="28"/>
          <w:szCs w:val="28"/>
        </w:rPr>
        <w:t>: Spanish</w:t>
      </w:r>
    </w:p>
    <w:p w14:paraId="780B069B" w14:textId="77777777" w:rsidR="005578FF" w:rsidRPr="00BB0E14" w:rsidRDefault="005578FF" w:rsidP="005578FF">
      <w:pPr>
        <w:pStyle w:val="NormalWeb"/>
        <w:spacing w:before="0" w:beforeAutospacing="0" w:after="0" w:afterAutospacing="0"/>
        <w:jc w:val="center"/>
        <w:rPr>
          <w:rFonts w:ascii="MuseoSlab" w:hAnsi="MuseoSlab"/>
          <w:b/>
          <w:bCs/>
        </w:rPr>
      </w:pPr>
    </w:p>
    <w:p w14:paraId="5A095939" w14:textId="77777777" w:rsidR="005578FF" w:rsidRPr="00AB14E5"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F1F1F"/>
          <w:kern w:val="0"/>
          <w:lang w:val="es-ES"/>
          <w14:ligatures w14:val="none"/>
        </w:rPr>
      </w:pPr>
      <w:r w:rsidRPr="00AB14E5">
        <w:rPr>
          <w:rFonts w:ascii="inherit" w:eastAsia="Times New Roman" w:hAnsi="inherit" w:cs="Courier New"/>
          <w:color w:val="1F1F1F"/>
          <w:kern w:val="0"/>
          <w:lang w:val="es-ES"/>
          <w14:ligatures w14:val="none"/>
        </w:rPr>
        <w:t xml:space="preserve">La misión del Programa Intensivo de </w:t>
      </w:r>
      <w:proofErr w:type="gramStart"/>
      <w:r w:rsidRPr="00AB14E5">
        <w:rPr>
          <w:rFonts w:ascii="inherit" w:eastAsia="Times New Roman" w:hAnsi="inherit" w:cs="Courier New"/>
          <w:color w:val="1F1F1F"/>
          <w:kern w:val="0"/>
          <w:lang w:val="es-ES"/>
          <w14:ligatures w14:val="none"/>
        </w:rPr>
        <w:t>Inglés</w:t>
      </w:r>
      <w:proofErr w:type="gramEnd"/>
      <w:r w:rsidRPr="00AB14E5">
        <w:rPr>
          <w:rFonts w:ascii="inherit" w:eastAsia="Times New Roman" w:hAnsi="inherit" w:cs="Courier New"/>
          <w:color w:val="1F1F1F"/>
          <w:kern w:val="0"/>
          <w:lang w:val="es-ES"/>
          <w14:ligatures w14:val="none"/>
        </w:rPr>
        <w:t xml:space="preserve"> (IELP) de la Universidad de Findlay es ofrecer programas innovadores a estudiantes internacionales. Estos programas están diseñados para mejorar el dominio del inglés, facilitar la aculturación a la vida en Estados Unidos y facilitar el éxito académico en los niveles de licenciatura y posgrado.</w:t>
      </w:r>
    </w:p>
    <w:p w14:paraId="33B0D5B8" w14:textId="77777777" w:rsidR="005578FF" w:rsidRPr="00AB14E5"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F1F1F"/>
          <w:kern w:val="0"/>
          <w:lang w:val="es-ES"/>
          <w14:ligatures w14:val="none"/>
        </w:rPr>
      </w:pPr>
    </w:p>
    <w:p w14:paraId="2203D0E8" w14:textId="77777777" w:rsidR="005578FF" w:rsidRPr="00AB14E5"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F1F1F"/>
          <w:kern w:val="0"/>
          <w:lang w:val="es-ES"/>
          <w14:ligatures w14:val="none"/>
        </w:rPr>
      </w:pPr>
      <w:r w:rsidRPr="00AB14E5">
        <w:rPr>
          <w:rFonts w:ascii="inherit" w:eastAsia="Times New Roman" w:hAnsi="inherit" w:cs="Courier New"/>
          <w:color w:val="1F1F1F"/>
          <w:kern w:val="0"/>
          <w:lang w:val="es-ES"/>
          <w14:ligatures w14:val="none"/>
        </w:rPr>
        <w:t>Los estudiantes que completan el nivel requerido del IELP cumplen con el requisito de dominio del inglés y pueden ingresar a un programa de licenciatura o maestría sin necesidad de obtener una calificación en el examen de idioma. Los estudiantes completan el nivel 3 para acceder a programas de licenciatura y el nivel 4 para acceder a programas de posgrado.</w:t>
      </w:r>
    </w:p>
    <w:p w14:paraId="07721EB0" w14:textId="77777777" w:rsidR="005578FF" w:rsidRPr="00AB14E5"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F1F1F"/>
          <w:kern w:val="0"/>
          <w:lang w:val="es-ES"/>
          <w14:ligatures w14:val="none"/>
        </w:rPr>
      </w:pPr>
    </w:p>
    <w:p w14:paraId="40100793" w14:textId="77777777" w:rsidR="005578FF" w:rsidRPr="00AB14E5"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F1F1F"/>
          <w:kern w:val="0"/>
          <w:u w:val="single"/>
          <w:lang w:val="es-ES"/>
          <w14:ligatures w14:val="none"/>
        </w:rPr>
      </w:pPr>
      <w:r w:rsidRPr="00AB14E5">
        <w:rPr>
          <w:rFonts w:ascii="inherit" w:eastAsia="Times New Roman" w:hAnsi="inherit" w:cs="Courier New"/>
          <w:color w:val="1F1F1F"/>
          <w:kern w:val="0"/>
          <w:u w:val="single"/>
          <w:lang w:val="es-ES"/>
          <w14:ligatures w14:val="none"/>
        </w:rPr>
        <w:t>CENTRO DE APOYO PARA ELL</w:t>
      </w:r>
    </w:p>
    <w:p w14:paraId="41FF70BD" w14:textId="77777777" w:rsidR="005578FF" w:rsidRPr="00AB14E5"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F1F1F"/>
          <w:kern w:val="0"/>
          <w:lang w:val="es-ES"/>
          <w14:ligatures w14:val="none"/>
        </w:rPr>
      </w:pPr>
    </w:p>
    <w:p w14:paraId="7F94D06F" w14:textId="77777777" w:rsidR="005578FF" w:rsidRPr="00AB14E5"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F1F1F"/>
          <w:kern w:val="0"/>
          <w:lang w:val="es-ES"/>
          <w14:ligatures w14:val="none"/>
        </w:rPr>
      </w:pPr>
      <w:r w:rsidRPr="00AB14E5">
        <w:rPr>
          <w:rFonts w:ascii="inherit" w:eastAsia="Times New Roman" w:hAnsi="inherit" w:cs="Courier New"/>
          <w:color w:val="1F1F1F"/>
          <w:kern w:val="0"/>
          <w:lang w:val="es-ES"/>
          <w14:ligatures w14:val="none"/>
        </w:rPr>
        <w:t>El Centro de Apoyo para ELL ofrece tutorías gratuitas a todos los estudiantes internacionales. Los estudiantes a menudo reciben ayuda con la escritura, la pronunciación, la lectura, la conversación, las técnicas de estudio, la gestión del tiempo, la comprensión de la cultura estadounidense y otras necesidades estudiantiles.</w:t>
      </w:r>
    </w:p>
    <w:p w14:paraId="0B0D20FF" w14:textId="77777777" w:rsidR="005578FF" w:rsidRPr="00AB14E5"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F1F1F"/>
          <w:kern w:val="0"/>
          <w:lang w:val="es-ES"/>
          <w14:ligatures w14:val="none"/>
        </w:rPr>
      </w:pPr>
    </w:p>
    <w:p w14:paraId="11B7950E" w14:textId="77777777" w:rsidR="005578FF" w:rsidRPr="00AB14E5"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F1F1F"/>
          <w:kern w:val="0"/>
          <w:u w:val="single"/>
          <w:lang w:val="es-ES"/>
          <w14:ligatures w14:val="none"/>
        </w:rPr>
      </w:pPr>
      <w:r w:rsidRPr="00AB14E5">
        <w:rPr>
          <w:rFonts w:ascii="inherit" w:eastAsia="Times New Roman" w:hAnsi="inherit" w:cs="Courier New"/>
          <w:color w:val="1F1F1F"/>
          <w:kern w:val="0"/>
          <w:u w:val="single"/>
          <w:lang w:val="es-ES"/>
          <w14:ligatures w14:val="none"/>
        </w:rPr>
        <w:t>INSTRUCTORES EXPERIMENTADOS</w:t>
      </w:r>
    </w:p>
    <w:p w14:paraId="4ADDF953" w14:textId="77777777" w:rsidR="005578FF" w:rsidRPr="00AB14E5"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F1F1F"/>
          <w:kern w:val="0"/>
          <w:lang w:val="es-ES"/>
          <w14:ligatures w14:val="none"/>
        </w:rPr>
      </w:pPr>
    </w:p>
    <w:p w14:paraId="40B2CAAE" w14:textId="77777777" w:rsidR="005578FF" w:rsidRPr="00AB14E5"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F1F1F"/>
          <w:kern w:val="0"/>
          <w:lang w:val="es-ES"/>
          <w14:ligatures w14:val="none"/>
        </w:rPr>
      </w:pPr>
      <w:r w:rsidRPr="00AB14E5">
        <w:rPr>
          <w:rFonts w:ascii="inherit" w:eastAsia="Times New Roman" w:hAnsi="inherit" w:cs="Courier New"/>
          <w:color w:val="1F1F1F"/>
          <w:kern w:val="0"/>
          <w:lang w:val="es-ES"/>
          <w14:ligatures w14:val="none"/>
        </w:rPr>
        <w:t>Con más de 100 años de experiencia en la enseñanza del inglés, el profesorado del IELP brinda atención individualizada a cada estudiante. Cada instructor posee una maestría o un título superior en TESOL o un campo similar.</w:t>
      </w:r>
    </w:p>
    <w:p w14:paraId="261653C6" w14:textId="77777777" w:rsidR="005578FF" w:rsidRPr="00AB14E5"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F1F1F"/>
          <w:kern w:val="0"/>
          <w:lang w:val="es-ES"/>
          <w14:ligatures w14:val="none"/>
        </w:rPr>
      </w:pPr>
    </w:p>
    <w:p w14:paraId="41988F3F" w14:textId="77777777" w:rsidR="005578FF" w:rsidRPr="00AB14E5"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F1F1F"/>
          <w:kern w:val="0"/>
          <w:u w:val="single"/>
          <w:lang w:val="es-ES"/>
          <w14:ligatures w14:val="none"/>
        </w:rPr>
      </w:pPr>
      <w:r w:rsidRPr="00AB14E5">
        <w:rPr>
          <w:rFonts w:ascii="inherit" w:eastAsia="Times New Roman" w:hAnsi="inherit" w:cs="Courier New"/>
          <w:color w:val="1F1F1F"/>
          <w:kern w:val="0"/>
          <w:u w:val="single"/>
          <w:lang w:val="es-ES"/>
          <w14:ligatures w14:val="none"/>
        </w:rPr>
        <w:t>ACCESO A LAS INSTALACIONES</w:t>
      </w:r>
    </w:p>
    <w:p w14:paraId="14BC4632" w14:textId="77777777" w:rsidR="005578FF" w:rsidRPr="00AB14E5"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F1F1F"/>
          <w:kern w:val="0"/>
          <w:lang w:val="es-ES"/>
          <w14:ligatures w14:val="none"/>
        </w:rPr>
      </w:pPr>
    </w:p>
    <w:p w14:paraId="15DDABA2" w14:textId="77777777" w:rsidR="005578FF" w:rsidRPr="00BB0E14"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F1F1F"/>
          <w:kern w:val="0"/>
          <w:lang w:val="es-ES"/>
          <w14:ligatures w14:val="none"/>
        </w:rPr>
      </w:pPr>
      <w:r w:rsidRPr="00AB14E5">
        <w:rPr>
          <w:rFonts w:ascii="inherit" w:eastAsia="Times New Roman" w:hAnsi="inherit" w:cs="Courier New"/>
          <w:color w:val="1F1F1F"/>
          <w:kern w:val="0"/>
          <w:lang w:val="es-ES"/>
          <w14:ligatures w14:val="none"/>
        </w:rPr>
        <w:t>Los estudiantes de IELP pueden usar todas las instalaciones, como el centro de salud, la biblioteca, los laboratorios de informática, el gimnasio y la piscina. Como miembros de la Universidad de Findlay, también pueden usar las oficinas de apoyo gratuitas, como tutorías, consejería, actividades estudiantiles, clubes y organizaciones.</w:t>
      </w:r>
    </w:p>
    <w:p w14:paraId="740E138E" w14:textId="77777777" w:rsidR="005578FF" w:rsidRPr="00BB0E14" w:rsidRDefault="005578FF" w:rsidP="005578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1F1F1F"/>
          <w:kern w:val="0"/>
          <w:lang w:val="es-ES"/>
          <w14:ligatures w14:val="none"/>
        </w:rPr>
      </w:pPr>
    </w:p>
    <w:p w14:paraId="5B112725" w14:textId="77777777" w:rsidR="005578FF" w:rsidRPr="00BB0E14" w:rsidRDefault="005578FF" w:rsidP="005578FF">
      <w:pPr>
        <w:pStyle w:val="HTMLPreformatted"/>
        <w:shd w:val="clear" w:color="auto" w:fill="F8F9FA"/>
        <w:rPr>
          <w:rStyle w:val="y2iqfc"/>
          <w:rFonts w:ascii="inherit" w:eastAsiaTheme="majorEastAsia" w:hAnsi="inherit"/>
          <w:color w:val="1F1F1F"/>
          <w:sz w:val="24"/>
          <w:szCs w:val="24"/>
          <w:u w:val="single"/>
          <w:lang w:val="es-ES"/>
        </w:rPr>
      </w:pPr>
      <w:r w:rsidRPr="00BB0E14">
        <w:rPr>
          <w:rStyle w:val="y2iqfc"/>
          <w:rFonts w:ascii="inherit" w:eastAsiaTheme="majorEastAsia" w:hAnsi="inherit"/>
          <w:color w:val="1F1F1F"/>
          <w:sz w:val="24"/>
          <w:szCs w:val="24"/>
          <w:u w:val="single"/>
          <w:lang w:val="es-ES"/>
        </w:rPr>
        <w:t>ACREDITACIÓN DE LA CEA</w:t>
      </w:r>
    </w:p>
    <w:p w14:paraId="3C179A52" w14:textId="77777777" w:rsidR="005578FF" w:rsidRPr="00BB0E14" w:rsidRDefault="005578FF" w:rsidP="005578FF">
      <w:pPr>
        <w:pStyle w:val="HTMLPreformatted"/>
        <w:shd w:val="clear" w:color="auto" w:fill="F8F9FA"/>
        <w:rPr>
          <w:rStyle w:val="y2iqfc"/>
          <w:rFonts w:ascii="inherit" w:eastAsiaTheme="majorEastAsia" w:hAnsi="inherit"/>
          <w:color w:val="1F1F1F"/>
          <w:sz w:val="24"/>
          <w:szCs w:val="24"/>
          <w:lang w:val="es-ES"/>
        </w:rPr>
      </w:pPr>
    </w:p>
    <w:p w14:paraId="70881A7F" w14:textId="77777777" w:rsidR="005578FF" w:rsidRPr="00BB0E14" w:rsidRDefault="005578FF" w:rsidP="005578FF">
      <w:pPr>
        <w:pStyle w:val="HTMLPreformatted"/>
        <w:shd w:val="clear" w:color="auto" w:fill="F8F9FA"/>
        <w:rPr>
          <w:rStyle w:val="y2iqfc"/>
          <w:rFonts w:ascii="inherit" w:eastAsiaTheme="majorEastAsia" w:hAnsi="inherit"/>
          <w:color w:val="1F1F1F"/>
          <w:sz w:val="24"/>
          <w:szCs w:val="24"/>
          <w:lang w:val="es-ES"/>
        </w:rPr>
      </w:pPr>
      <w:r w:rsidRPr="00BB0E14">
        <w:rPr>
          <w:rStyle w:val="y2iqfc"/>
          <w:rFonts w:ascii="inherit" w:eastAsiaTheme="majorEastAsia" w:hAnsi="inherit"/>
          <w:color w:val="1F1F1F"/>
          <w:sz w:val="24"/>
          <w:szCs w:val="24"/>
          <w:lang w:val="es-ES"/>
        </w:rPr>
        <w:t>El programa intensivo del IELP cuenta con la acreditación nacional de la Comisión de Acreditación de Programas del Idioma Inglés (CEA) hasta abril de 2029. La CEA está reconocida por el Departamento de Educación de EE. UU. como la autoridad competente para dicha acreditación.</w:t>
      </w:r>
    </w:p>
    <w:p w14:paraId="306D6AC1" w14:textId="77777777" w:rsidR="005578FF" w:rsidRPr="00BB0E14" w:rsidRDefault="005578FF" w:rsidP="005578FF">
      <w:pPr>
        <w:pStyle w:val="HTMLPreformatted"/>
        <w:shd w:val="clear" w:color="auto" w:fill="F8F9FA"/>
        <w:rPr>
          <w:rStyle w:val="y2iqfc"/>
          <w:rFonts w:ascii="inherit" w:eastAsiaTheme="majorEastAsia" w:hAnsi="inherit"/>
          <w:color w:val="1F1F1F"/>
          <w:sz w:val="24"/>
          <w:szCs w:val="24"/>
          <w:lang w:val="es-ES"/>
        </w:rPr>
      </w:pPr>
    </w:p>
    <w:p w14:paraId="70A54840" w14:textId="77777777" w:rsidR="005578FF" w:rsidRPr="00BB0E14" w:rsidRDefault="005578FF" w:rsidP="005578FF">
      <w:pPr>
        <w:pStyle w:val="HTMLPreformatted"/>
        <w:shd w:val="clear" w:color="auto" w:fill="F8F9FA"/>
        <w:rPr>
          <w:rStyle w:val="y2iqfc"/>
          <w:rFonts w:ascii="inherit" w:eastAsiaTheme="majorEastAsia" w:hAnsi="inherit"/>
          <w:color w:val="1F1F1F"/>
          <w:sz w:val="24"/>
          <w:szCs w:val="24"/>
          <w:u w:val="single"/>
          <w:lang w:val="es-ES"/>
        </w:rPr>
      </w:pPr>
      <w:r w:rsidRPr="00BB0E14">
        <w:rPr>
          <w:rStyle w:val="y2iqfc"/>
          <w:rFonts w:ascii="inherit" w:eastAsiaTheme="majorEastAsia" w:hAnsi="inherit"/>
          <w:color w:val="1F1F1F"/>
          <w:sz w:val="24"/>
          <w:szCs w:val="24"/>
          <w:u w:val="single"/>
          <w:lang w:val="es-ES"/>
        </w:rPr>
        <w:t>PARTICIPA</w:t>
      </w:r>
    </w:p>
    <w:p w14:paraId="0FD1ACCC" w14:textId="77777777" w:rsidR="005578FF" w:rsidRPr="00BB0E14" w:rsidRDefault="005578FF" w:rsidP="005578FF">
      <w:pPr>
        <w:pStyle w:val="HTMLPreformatted"/>
        <w:shd w:val="clear" w:color="auto" w:fill="F8F9FA"/>
        <w:rPr>
          <w:rStyle w:val="y2iqfc"/>
          <w:rFonts w:ascii="inherit" w:eastAsiaTheme="majorEastAsia" w:hAnsi="inherit"/>
          <w:color w:val="1F1F1F"/>
          <w:sz w:val="24"/>
          <w:szCs w:val="24"/>
          <w:lang w:val="es-ES"/>
        </w:rPr>
      </w:pPr>
    </w:p>
    <w:p w14:paraId="79DED703" w14:textId="77777777" w:rsidR="005578FF" w:rsidRPr="00BB0E14" w:rsidRDefault="005578FF" w:rsidP="005578FF">
      <w:pPr>
        <w:pStyle w:val="HTMLPreformatted"/>
        <w:shd w:val="clear" w:color="auto" w:fill="F8F9FA"/>
        <w:rPr>
          <w:rStyle w:val="y2iqfc"/>
          <w:rFonts w:ascii="inherit" w:eastAsiaTheme="majorEastAsia" w:hAnsi="inherit"/>
          <w:color w:val="1F1F1F"/>
          <w:sz w:val="24"/>
          <w:szCs w:val="24"/>
          <w:lang w:val="es-ES"/>
        </w:rPr>
      </w:pPr>
      <w:r w:rsidRPr="00BB0E14">
        <w:rPr>
          <w:rStyle w:val="y2iqfc"/>
          <w:rFonts w:ascii="inherit" w:eastAsiaTheme="majorEastAsia" w:hAnsi="inherit"/>
          <w:color w:val="1F1F1F"/>
          <w:sz w:val="24"/>
          <w:szCs w:val="24"/>
          <w:lang w:val="es-ES"/>
        </w:rPr>
        <w:t xml:space="preserve">El IELP y la Universidad de Findlay ofrecen numerosas oportunidades para conectar con la cultura y los ciudadanos estadounidenses. Estas oportunidades satisfacen diversos </w:t>
      </w:r>
      <w:r w:rsidRPr="00BB0E14">
        <w:rPr>
          <w:rStyle w:val="y2iqfc"/>
          <w:rFonts w:ascii="inherit" w:eastAsiaTheme="majorEastAsia" w:hAnsi="inherit"/>
          <w:color w:val="1F1F1F"/>
          <w:sz w:val="24"/>
          <w:szCs w:val="24"/>
          <w:lang w:val="es-ES"/>
        </w:rPr>
        <w:lastRenderedPageBreak/>
        <w:t>intereses, como entretenimiento, servicios, estudios, inmersión cultural, idiomas, deportes, clubes de interés ¡y mucho más!</w:t>
      </w:r>
    </w:p>
    <w:p w14:paraId="74EB842D" w14:textId="77777777" w:rsidR="005578FF" w:rsidRPr="00BB0E14" w:rsidRDefault="005578FF" w:rsidP="005578FF">
      <w:pPr>
        <w:pStyle w:val="HTMLPreformatted"/>
        <w:shd w:val="clear" w:color="auto" w:fill="F8F9FA"/>
        <w:rPr>
          <w:rStyle w:val="y2iqfc"/>
          <w:rFonts w:ascii="inherit" w:eastAsiaTheme="majorEastAsia" w:hAnsi="inherit"/>
          <w:color w:val="1F1F1F"/>
          <w:sz w:val="24"/>
          <w:szCs w:val="24"/>
          <w:lang w:val="es-ES"/>
        </w:rPr>
      </w:pPr>
    </w:p>
    <w:p w14:paraId="0A3A9661" w14:textId="77777777" w:rsidR="005578FF" w:rsidRPr="00BB0E14" w:rsidRDefault="005578FF" w:rsidP="005578FF">
      <w:pPr>
        <w:pStyle w:val="HTMLPreformatted"/>
        <w:shd w:val="clear" w:color="auto" w:fill="F8F9FA"/>
        <w:rPr>
          <w:rStyle w:val="y2iqfc"/>
          <w:rFonts w:ascii="inherit" w:eastAsiaTheme="majorEastAsia" w:hAnsi="inherit"/>
          <w:color w:val="1F1F1F"/>
          <w:sz w:val="24"/>
          <w:szCs w:val="24"/>
          <w:u w:val="single"/>
          <w:lang w:val="es-ES"/>
        </w:rPr>
      </w:pPr>
      <w:r w:rsidRPr="00BB0E14">
        <w:rPr>
          <w:rStyle w:val="y2iqfc"/>
          <w:rFonts w:ascii="inherit" w:eastAsiaTheme="majorEastAsia" w:hAnsi="inherit"/>
          <w:color w:val="1F1F1F"/>
          <w:sz w:val="24"/>
          <w:szCs w:val="24"/>
          <w:u w:val="single"/>
          <w:lang w:val="es-ES"/>
        </w:rPr>
        <w:t>LA CIUDAD DE FINDLAY</w:t>
      </w:r>
    </w:p>
    <w:p w14:paraId="04A7CD9A" w14:textId="77777777" w:rsidR="005578FF" w:rsidRPr="00BB0E14" w:rsidRDefault="005578FF" w:rsidP="005578FF">
      <w:pPr>
        <w:pStyle w:val="HTMLPreformatted"/>
        <w:shd w:val="clear" w:color="auto" w:fill="F8F9FA"/>
        <w:rPr>
          <w:rStyle w:val="y2iqfc"/>
          <w:rFonts w:ascii="inherit" w:eastAsiaTheme="majorEastAsia" w:hAnsi="inherit"/>
          <w:color w:val="1F1F1F"/>
          <w:sz w:val="24"/>
          <w:szCs w:val="24"/>
          <w:u w:val="single"/>
          <w:lang w:val="es-ES"/>
        </w:rPr>
      </w:pPr>
    </w:p>
    <w:p w14:paraId="34872F90" w14:textId="77777777" w:rsidR="005578FF" w:rsidRPr="00BB0E14" w:rsidRDefault="005578FF" w:rsidP="005578FF">
      <w:pPr>
        <w:pStyle w:val="HTMLPreformatted"/>
        <w:shd w:val="clear" w:color="auto" w:fill="F8F9FA"/>
        <w:rPr>
          <w:rStyle w:val="y2iqfc"/>
          <w:rFonts w:ascii="inherit" w:eastAsiaTheme="majorEastAsia" w:hAnsi="inherit"/>
          <w:color w:val="1F1F1F"/>
          <w:sz w:val="24"/>
          <w:szCs w:val="24"/>
          <w:lang w:val="es-ES"/>
        </w:rPr>
      </w:pPr>
      <w:r w:rsidRPr="00BB0E14">
        <w:rPr>
          <w:rStyle w:val="y2iqfc"/>
          <w:rFonts w:ascii="inherit" w:eastAsiaTheme="majorEastAsia" w:hAnsi="inherit"/>
          <w:color w:val="1F1F1F"/>
          <w:sz w:val="24"/>
          <w:szCs w:val="24"/>
          <w:lang w:val="es-ES"/>
        </w:rPr>
        <w:t>• Pequeña, segura, hermosa</w:t>
      </w:r>
    </w:p>
    <w:p w14:paraId="41387E01" w14:textId="77777777" w:rsidR="005578FF" w:rsidRPr="00BB0E14" w:rsidRDefault="005578FF" w:rsidP="005578FF">
      <w:pPr>
        <w:pStyle w:val="HTMLPreformatted"/>
        <w:shd w:val="clear" w:color="auto" w:fill="F8F9FA"/>
        <w:rPr>
          <w:rStyle w:val="y2iqfc"/>
          <w:rFonts w:ascii="inherit" w:eastAsiaTheme="majorEastAsia" w:hAnsi="inherit"/>
          <w:color w:val="1F1F1F"/>
          <w:sz w:val="24"/>
          <w:szCs w:val="24"/>
          <w:lang w:val="es-ES"/>
        </w:rPr>
      </w:pPr>
      <w:r w:rsidRPr="00BB0E14">
        <w:rPr>
          <w:rStyle w:val="y2iqfc"/>
          <w:rFonts w:ascii="inherit" w:eastAsiaTheme="majorEastAsia" w:hAnsi="inherit"/>
          <w:color w:val="1F1F1F"/>
          <w:sz w:val="24"/>
          <w:szCs w:val="24"/>
          <w:lang w:val="es-ES"/>
        </w:rPr>
        <w:t>• 44,000 residentes</w:t>
      </w:r>
    </w:p>
    <w:p w14:paraId="2F46CC46" w14:textId="77777777" w:rsidR="005578FF" w:rsidRPr="00BB0E14" w:rsidRDefault="005578FF" w:rsidP="005578FF">
      <w:pPr>
        <w:pStyle w:val="HTMLPreformatted"/>
        <w:shd w:val="clear" w:color="auto" w:fill="F8F9FA"/>
        <w:rPr>
          <w:rStyle w:val="y2iqfc"/>
          <w:rFonts w:ascii="inherit" w:eastAsiaTheme="majorEastAsia" w:hAnsi="inherit"/>
          <w:color w:val="1F1F1F"/>
          <w:sz w:val="24"/>
          <w:szCs w:val="24"/>
          <w:lang w:val="es-ES"/>
        </w:rPr>
      </w:pPr>
      <w:r w:rsidRPr="00BB0E14">
        <w:rPr>
          <w:rStyle w:val="y2iqfc"/>
          <w:rFonts w:ascii="inherit" w:eastAsiaTheme="majorEastAsia" w:hAnsi="inherit"/>
          <w:color w:val="1F1F1F"/>
          <w:sz w:val="24"/>
          <w:szCs w:val="24"/>
          <w:lang w:val="es-ES"/>
        </w:rPr>
        <w:t>• ¡Una de las mejores comunidades metropolitanas de EE. UU.!</w:t>
      </w:r>
    </w:p>
    <w:p w14:paraId="4A176016" w14:textId="77777777" w:rsidR="005578FF" w:rsidRPr="00BB0E14" w:rsidRDefault="005578FF" w:rsidP="005578FF">
      <w:pPr>
        <w:pStyle w:val="HTMLPreformatted"/>
        <w:shd w:val="clear" w:color="auto" w:fill="F8F9FA"/>
        <w:rPr>
          <w:rStyle w:val="y2iqfc"/>
          <w:rFonts w:ascii="inherit" w:eastAsiaTheme="majorEastAsia" w:hAnsi="inherit"/>
          <w:color w:val="1F1F1F"/>
          <w:sz w:val="24"/>
          <w:szCs w:val="24"/>
          <w:lang w:val="es-ES"/>
        </w:rPr>
      </w:pPr>
      <w:r w:rsidRPr="00BB0E14">
        <w:rPr>
          <w:rStyle w:val="y2iqfc"/>
          <w:rFonts w:ascii="inherit" w:eastAsiaTheme="majorEastAsia" w:hAnsi="inherit"/>
          <w:color w:val="1F1F1F"/>
          <w:sz w:val="24"/>
          <w:szCs w:val="24"/>
          <w:lang w:val="es-ES"/>
        </w:rPr>
        <w:t>• Un centro emocionante</w:t>
      </w:r>
    </w:p>
    <w:p w14:paraId="7DCE10D8" w14:textId="77777777" w:rsidR="005578FF" w:rsidRPr="00AB14E5" w:rsidRDefault="005578FF" w:rsidP="005578FF">
      <w:pPr>
        <w:pStyle w:val="HTMLPreformatted"/>
        <w:shd w:val="clear" w:color="auto" w:fill="F8F9FA"/>
        <w:rPr>
          <w:rFonts w:ascii="inherit" w:hAnsi="inherit"/>
          <w:color w:val="1F1F1F"/>
          <w:sz w:val="24"/>
          <w:szCs w:val="24"/>
        </w:rPr>
      </w:pPr>
      <w:r w:rsidRPr="00BB0E14">
        <w:rPr>
          <w:rStyle w:val="y2iqfc"/>
          <w:rFonts w:ascii="inherit" w:eastAsiaTheme="majorEastAsia" w:hAnsi="inherit"/>
          <w:color w:val="1F1F1F"/>
          <w:sz w:val="24"/>
          <w:szCs w:val="24"/>
          <w:lang w:val="es-ES"/>
        </w:rPr>
        <w:t>• Gran población inmigrante</w:t>
      </w:r>
    </w:p>
    <w:p w14:paraId="62E64910" w14:textId="77777777" w:rsidR="00B0215D" w:rsidRDefault="00B0215D"/>
    <w:sectPr w:rsidR="00B0215D" w:rsidSect="005578FF">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4B785" w14:textId="77777777" w:rsidR="003C0EC3" w:rsidRDefault="003C0EC3" w:rsidP="0012277E">
      <w:r>
        <w:separator/>
      </w:r>
    </w:p>
  </w:endnote>
  <w:endnote w:type="continuationSeparator" w:id="0">
    <w:p w14:paraId="21C9B722" w14:textId="77777777" w:rsidR="003C0EC3" w:rsidRDefault="003C0EC3" w:rsidP="00122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w:panose1 w:val="02000503020000020003"/>
    <w:charset w:val="4D"/>
    <w:family w:val="swiss"/>
    <w:pitch w:val="variable"/>
    <w:sig w:usb0="800000AF" w:usb1="5000204A" w:usb2="00000000" w:usb3="00000000" w:csb0="0000009B" w:csb1="00000000"/>
  </w:font>
  <w:font w:name="inherit">
    <w:altName w:val="Cambria"/>
    <w:panose1 w:val="020B0604020202020204"/>
    <w:charset w:val="00"/>
    <w:family w:val="roman"/>
    <w:notTrueType/>
    <w:pitch w:val="default"/>
  </w:font>
  <w:font w:name="MuseoSlab">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93409" w14:textId="77777777" w:rsidR="003C0EC3" w:rsidRDefault="003C0EC3" w:rsidP="0012277E">
      <w:r>
        <w:separator/>
      </w:r>
    </w:p>
  </w:footnote>
  <w:footnote w:type="continuationSeparator" w:id="0">
    <w:p w14:paraId="5D096B25" w14:textId="77777777" w:rsidR="003C0EC3" w:rsidRDefault="003C0EC3" w:rsidP="00122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4A"/>
    <w:rsid w:val="0012277E"/>
    <w:rsid w:val="003C0EC3"/>
    <w:rsid w:val="00415706"/>
    <w:rsid w:val="004E15D9"/>
    <w:rsid w:val="004F1442"/>
    <w:rsid w:val="005578FF"/>
    <w:rsid w:val="0068731D"/>
    <w:rsid w:val="006A3A0F"/>
    <w:rsid w:val="007660B9"/>
    <w:rsid w:val="008F7A4A"/>
    <w:rsid w:val="00B0215D"/>
    <w:rsid w:val="00C80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DC70F"/>
  <w15:chartTrackingRefBased/>
  <w15:docId w15:val="{3D0169AE-CEC7-E64A-A5CE-68AE6463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8FF"/>
  </w:style>
  <w:style w:type="paragraph" w:styleId="Heading1">
    <w:name w:val="heading 1"/>
    <w:basedOn w:val="Normal"/>
    <w:next w:val="Normal"/>
    <w:link w:val="Heading1Char"/>
    <w:uiPriority w:val="9"/>
    <w:qFormat/>
    <w:rsid w:val="008F7A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A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A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A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A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A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A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A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A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A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A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A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A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A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A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A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A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A4A"/>
    <w:rPr>
      <w:rFonts w:eastAsiaTheme="majorEastAsia" w:cstheme="majorBidi"/>
      <w:color w:val="272727" w:themeColor="text1" w:themeTint="D8"/>
    </w:rPr>
  </w:style>
  <w:style w:type="paragraph" w:styleId="Title">
    <w:name w:val="Title"/>
    <w:basedOn w:val="Normal"/>
    <w:next w:val="Normal"/>
    <w:link w:val="TitleChar"/>
    <w:uiPriority w:val="10"/>
    <w:qFormat/>
    <w:rsid w:val="008F7A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A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A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A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A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7A4A"/>
    <w:rPr>
      <w:i/>
      <w:iCs/>
      <w:color w:val="404040" w:themeColor="text1" w:themeTint="BF"/>
    </w:rPr>
  </w:style>
  <w:style w:type="paragraph" w:styleId="ListParagraph">
    <w:name w:val="List Paragraph"/>
    <w:basedOn w:val="Normal"/>
    <w:uiPriority w:val="34"/>
    <w:qFormat/>
    <w:rsid w:val="008F7A4A"/>
    <w:pPr>
      <w:ind w:left="720"/>
      <w:contextualSpacing/>
    </w:pPr>
  </w:style>
  <w:style w:type="character" w:styleId="IntenseEmphasis">
    <w:name w:val="Intense Emphasis"/>
    <w:basedOn w:val="DefaultParagraphFont"/>
    <w:uiPriority w:val="21"/>
    <w:qFormat/>
    <w:rsid w:val="008F7A4A"/>
    <w:rPr>
      <w:i/>
      <w:iCs/>
      <w:color w:val="0F4761" w:themeColor="accent1" w:themeShade="BF"/>
    </w:rPr>
  </w:style>
  <w:style w:type="paragraph" w:styleId="IntenseQuote">
    <w:name w:val="Intense Quote"/>
    <w:basedOn w:val="Normal"/>
    <w:next w:val="Normal"/>
    <w:link w:val="IntenseQuoteChar"/>
    <w:uiPriority w:val="30"/>
    <w:qFormat/>
    <w:rsid w:val="008F7A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A4A"/>
    <w:rPr>
      <w:i/>
      <w:iCs/>
      <w:color w:val="0F4761" w:themeColor="accent1" w:themeShade="BF"/>
    </w:rPr>
  </w:style>
  <w:style w:type="character" w:styleId="IntenseReference">
    <w:name w:val="Intense Reference"/>
    <w:basedOn w:val="DefaultParagraphFont"/>
    <w:uiPriority w:val="32"/>
    <w:qFormat/>
    <w:rsid w:val="008F7A4A"/>
    <w:rPr>
      <w:b/>
      <w:bCs/>
      <w:smallCaps/>
      <w:color w:val="0F4761" w:themeColor="accent1" w:themeShade="BF"/>
      <w:spacing w:val="5"/>
    </w:rPr>
  </w:style>
  <w:style w:type="paragraph" w:styleId="NormalWeb">
    <w:name w:val="Normal (Web)"/>
    <w:basedOn w:val="Normal"/>
    <w:uiPriority w:val="99"/>
    <w:semiHidden/>
    <w:unhideWhenUsed/>
    <w:rsid w:val="005578FF"/>
    <w:pPr>
      <w:spacing w:before="100" w:beforeAutospacing="1" w:after="100" w:afterAutospacing="1"/>
    </w:pPr>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unhideWhenUsed/>
    <w:rsid w:val="00557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5578FF"/>
    <w:rPr>
      <w:rFonts w:ascii="Courier New" w:eastAsia="Times New Roman" w:hAnsi="Courier New" w:cs="Courier New"/>
      <w:kern w:val="0"/>
      <w:sz w:val="20"/>
      <w:szCs w:val="20"/>
      <w14:ligatures w14:val="none"/>
    </w:rPr>
  </w:style>
  <w:style w:type="character" w:customStyle="1" w:styleId="y2iqfc">
    <w:name w:val="y2iqfc"/>
    <w:basedOn w:val="DefaultParagraphFont"/>
    <w:rsid w:val="005578FF"/>
  </w:style>
  <w:style w:type="character" w:styleId="CommentReference">
    <w:name w:val="annotation reference"/>
    <w:basedOn w:val="DefaultParagraphFont"/>
    <w:uiPriority w:val="99"/>
    <w:semiHidden/>
    <w:unhideWhenUsed/>
    <w:rsid w:val="004F1442"/>
    <w:rPr>
      <w:sz w:val="16"/>
      <w:szCs w:val="16"/>
    </w:rPr>
  </w:style>
  <w:style w:type="paragraph" w:styleId="CommentText">
    <w:name w:val="annotation text"/>
    <w:basedOn w:val="Normal"/>
    <w:link w:val="CommentTextChar"/>
    <w:uiPriority w:val="99"/>
    <w:semiHidden/>
    <w:unhideWhenUsed/>
    <w:rsid w:val="004F1442"/>
    <w:rPr>
      <w:sz w:val="20"/>
      <w:szCs w:val="20"/>
    </w:rPr>
  </w:style>
  <w:style w:type="character" w:customStyle="1" w:styleId="CommentTextChar">
    <w:name w:val="Comment Text Char"/>
    <w:basedOn w:val="DefaultParagraphFont"/>
    <w:link w:val="CommentText"/>
    <w:uiPriority w:val="99"/>
    <w:semiHidden/>
    <w:rsid w:val="004F1442"/>
    <w:rPr>
      <w:sz w:val="20"/>
      <w:szCs w:val="20"/>
    </w:rPr>
  </w:style>
  <w:style w:type="paragraph" w:styleId="CommentSubject">
    <w:name w:val="annotation subject"/>
    <w:basedOn w:val="CommentText"/>
    <w:next w:val="CommentText"/>
    <w:link w:val="CommentSubjectChar"/>
    <w:uiPriority w:val="99"/>
    <w:semiHidden/>
    <w:unhideWhenUsed/>
    <w:rsid w:val="004F1442"/>
    <w:rPr>
      <w:b/>
      <w:bCs/>
    </w:rPr>
  </w:style>
  <w:style w:type="character" w:customStyle="1" w:styleId="CommentSubjectChar">
    <w:name w:val="Comment Subject Char"/>
    <w:basedOn w:val="CommentTextChar"/>
    <w:link w:val="CommentSubject"/>
    <w:uiPriority w:val="99"/>
    <w:semiHidden/>
    <w:rsid w:val="004F1442"/>
    <w:rPr>
      <w:b/>
      <w:bCs/>
      <w:sz w:val="20"/>
      <w:szCs w:val="20"/>
    </w:rPr>
  </w:style>
  <w:style w:type="paragraph" w:customStyle="1" w:styleId="commentcontentpara">
    <w:name w:val="commentcontentpara"/>
    <w:basedOn w:val="Normal"/>
    <w:rsid w:val="00415706"/>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2277E"/>
    <w:pPr>
      <w:tabs>
        <w:tab w:val="center" w:pos="4680"/>
        <w:tab w:val="right" w:pos="9360"/>
      </w:tabs>
    </w:pPr>
  </w:style>
  <w:style w:type="character" w:customStyle="1" w:styleId="HeaderChar">
    <w:name w:val="Header Char"/>
    <w:basedOn w:val="DefaultParagraphFont"/>
    <w:link w:val="Header"/>
    <w:uiPriority w:val="99"/>
    <w:rsid w:val="0012277E"/>
  </w:style>
  <w:style w:type="paragraph" w:styleId="Footer">
    <w:name w:val="footer"/>
    <w:basedOn w:val="Normal"/>
    <w:link w:val="FooterChar"/>
    <w:uiPriority w:val="99"/>
    <w:unhideWhenUsed/>
    <w:rsid w:val="0012277E"/>
    <w:pPr>
      <w:tabs>
        <w:tab w:val="center" w:pos="4680"/>
        <w:tab w:val="right" w:pos="9360"/>
      </w:tabs>
    </w:pPr>
  </w:style>
  <w:style w:type="character" w:customStyle="1" w:styleId="FooterChar">
    <w:name w:val="Footer Char"/>
    <w:basedOn w:val="DefaultParagraphFont"/>
    <w:link w:val="Footer"/>
    <w:uiPriority w:val="99"/>
    <w:rsid w:val="00122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31506">
      <w:bodyDiv w:val="1"/>
      <w:marLeft w:val="0"/>
      <w:marRight w:val="0"/>
      <w:marTop w:val="0"/>
      <w:marBottom w:val="0"/>
      <w:divBdr>
        <w:top w:val="none" w:sz="0" w:space="0" w:color="auto"/>
        <w:left w:val="none" w:sz="0" w:space="0" w:color="auto"/>
        <w:bottom w:val="none" w:sz="0" w:space="0" w:color="auto"/>
        <w:right w:val="none" w:sz="0" w:space="0" w:color="auto"/>
      </w:divBdr>
      <w:divsChild>
        <w:div w:id="2081713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0027662C4F149908031B333F39E84" ma:contentTypeVersion="1" ma:contentTypeDescription="Create a new document." ma:contentTypeScope="" ma:versionID="50f28355640c8ff46f3ad92b5b48506e">
  <xsd:schema xmlns:xsd="http://www.w3.org/2001/XMLSchema" xmlns:xs="http://www.w3.org/2001/XMLSchema" xmlns:p="http://schemas.microsoft.com/office/2006/metadata/properties" xmlns:ns2="881cbc62-9c94-4650-91c8-fbcdad032e96" targetNamespace="http://schemas.microsoft.com/office/2006/metadata/properties" ma:root="true" ma:fieldsID="bc580c3011d5ae0b61aaf6655b9d8d56" ns2:_="">
    <xsd:import namespace="881cbc62-9c94-4650-91c8-fbcdad032e9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81cbc62-9c94-4650-91c8-fbcdad032e96">65M42YJNURMD-1630347026-39</_dlc_DocId>
    <_dlc_DocIdUrl xmlns="881cbc62-9c94-4650-91c8-fbcdad032e96">
      <Url>https://stg.findlay.edu/arts-humanities-social-sciences/language-culture/_layouts/15/DocIdRedir.aspx?ID=65M42YJNURMD-1630347026-39</Url>
      <Description>65M42YJNURMD-1630347026-39</Description>
    </_dlc_DocIdUrl>
  </documentManagement>
</p:properties>
</file>

<file path=customXml/itemProps1.xml><?xml version="1.0" encoding="utf-8"?>
<ds:datastoreItem xmlns:ds="http://schemas.openxmlformats.org/officeDocument/2006/customXml" ds:itemID="{F2AE485E-A442-410D-9478-537ECB503062}"/>
</file>

<file path=customXml/itemProps2.xml><?xml version="1.0" encoding="utf-8"?>
<ds:datastoreItem xmlns:ds="http://schemas.openxmlformats.org/officeDocument/2006/customXml" ds:itemID="{C45A8530-85EC-4B00-8F91-682AE83AB640}"/>
</file>

<file path=customXml/itemProps3.xml><?xml version="1.0" encoding="utf-8"?>
<ds:datastoreItem xmlns:ds="http://schemas.openxmlformats.org/officeDocument/2006/customXml" ds:itemID="{D5A55871-5864-47BB-A421-975AF8DB67F8}"/>
</file>

<file path=customXml/itemProps4.xml><?xml version="1.0" encoding="utf-8"?>
<ds:datastoreItem xmlns:ds="http://schemas.openxmlformats.org/officeDocument/2006/customXml" ds:itemID="{81FC720D-D1FE-4498-9196-19A2869385ED}"/>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Mott</dc:creator>
  <cp:keywords/>
  <dc:description/>
  <cp:lastModifiedBy>Greg Mott</cp:lastModifiedBy>
  <cp:revision>2</cp:revision>
  <dcterms:created xsi:type="dcterms:W3CDTF">2025-05-13T16:24:00Z</dcterms:created>
  <dcterms:modified xsi:type="dcterms:W3CDTF">2025-05-13T16:24:00Z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0x0101003F30027662C4F149908031B333F39E84</vt:lpwstr>
  </property>
  <property fmtid="{D5CDD505-2E9C-101B-9397-08002B2CF9AE}" pid="3" name="_dlc_DocIdItemGuid">
    <vt:lpwstr>eb2139eb-66c5-44c9-9193-b0f32b2a2d95</vt:lpwstr>
  </property>
</Properties>
</file>